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1 -->
  <w:body>
    <w:p>
      <w:pPr>
        <w:pStyle w:val="BodyText"/>
        <w:jc w:val="center"/>
        <w:rPr>
          <w:rFonts w:ascii="华文中宋" w:eastAsia="华文中宋" w:hAnsi="华文中宋" w:hint="default"/>
          <w:b/>
          <w:sz w:val="52"/>
        </w:rPr>
      </w:pPr>
      <w:r>
        <w:rPr>
          <w:rFonts w:ascii="华文中宋" w:eastAsia="华文中宋" w:hAnsi="华文中宋"/>
          <w:b/>
          <w:sz w:val="52"/>
        </w:rPr>
        <w:t>福贡县林业和草原局护林员巡护</w:t>
      </w:r>
    </w:p>
    <w:p>
      <w:pPr>
        <w:pStyle w:val="BodyText"/>
        <w:jc w:val="center"/>
        <w:rPr>
          <w:rFonts w:ascii="华文中宋" w:eastAsia="华文中宋" w:hAnsi="华文中宋" w:hint="default"/>
          <w:b/>
          <w:sz w:val="52"/>
        </w:rPr>
      </w:pPr>
      <w:r>
        <w:rPr>
          <w:rFonts w:ascii="华文中宋" w:eastAsia="华文中宋" w:hAnsi="华文中宋"/>
          <w:b/>
          <w:sz w:val="52"/>
        </w:rPr>
        <w:t>装备购买项目</w:t>
      </w:r>
    </w:p>
    <w:p>
      <w:pPr>
        <w:pStyle w:val="BodyText"/>
        <w:rPr>
          <w:rFonts w:ascii="华文中宋" w:eastAsia="华文中宋" w:hAnsi="华文中宋" w:hint="default"/>
          <w:b/>
          <w:sz w:val="52"/>
        </w:rPr>
      </w:pPr>
    </w:p>
    <w:p>
      <w:pPr>
        <w:pStyle w:val="BodyText"/>
        <w:rPr>
          <w:rFonts w:ascii="华文中宋" w:eastAsia="华文中宋" w:hAnsi="华文中宋" w:hint="default"/>
          <w:b/>
          <w:sz w:val="52"/>
        </w:rPr>
      </w:pPr>
    </w:p>
    <w:p>
      <w:pPr>
        <w:pStyle w:val="BodyText"/>
        <w:rPr>
          <w:rFonts w:hint="default"/>
        </w:rPr>
      </w:pPr>
    </w:p>
    <w:p>
      <w:pPr>
        <w:pStyle w:val="BodyText"/>
        <w:rPr>
          <w:rFonts w:hint="default"/>
        </w:rPr>
      </w:pPr>
    </w:p>
    <w:p>
      <w:pPr>
        <w:pStyle w:val="Heading1"/>
        <w:tabs>
          <w:tab w:val="left" w:pos="1158"/>
          <w:tab w:val="left" w:pos="2319"/>
          <w:tab w:val="left" w:pos="3480"/>
        </w:tabs>
        <w:kinsoku w:val="0"/>
        <w:overflowPunct w:val="0"/>
        <w:ind w:right="13"/>
        <w:jc w:val="center"/>
        <w:rPr>
          <w:rFonts w:hint="default"/>
        </w:rPr>
      </w:pPr>
      <w:r>
        <w:t>招</w:t>
      </w:r>
      <w:r>
        <w:tab/>
      </w:r>
      <w:r>
        <w:t>标</w:t>
      </w:r>
      <w:r>
        <w:tab/>
      </w:r>
      <w:r>
        <w:t>文</w:t>
      </w:r>
      <w:r>
        <w:tab/>
      </w:r>
      <w:r>
        <w:t>件</w:t>
      </w:r>
    </w:p>
    <w:p>
      <w:pPr>
        <w:pStyle w:val="BodyText"/>
        <w:rPr>
          <w:rFonts w:hint="default"/>
        </w:rPr>
      </w:pPr>
    </w:p>
    <w:p>
      <w:pPr>
        <w:rPr>
          <w:rFonts w:hint="default"/>
        </w:rPr>
      </w:pPr>
    </w:p>
    <w:p>
      <w:pPr>
        <w:kinsoku w:val="0"/>
        <w:overflowPunct w:val="0"/>
        <w:rPr>
          <w:rFonts w:eastAsia="Times New Roman" w:hint="default"/>
          <w:sz w:val="32"/>
        </w:rPr>
      </w:pPr>
    </w:p>
    <w:p>
      <w:pPr>
        <w:kinsoku w:val="0"/>
        <w:overflowPunct w:val="0"/>
        <w:jc w:val="both"/>
        <w:rPr>
          <w:rFonts w:eastAsia="Times New Roman" w:hint="default"/>
        </w:rPr>
      </w:pPr>
    </w:p>
    <w:p>
      <w:pPr>
        <w:kinsoku w:val="0"/>
        <w:overflowPunct w:val="0"/>
        <w:spacing w:line="320" w:lineRule="exact"/>
        <w:jc w:val="center"/>
        <w:rPr>
          <w:rFonts w:eastAsia="Times New Roman" w:hint="default"/>
          <w:sz w:val="32"/>
        </w:rPr>
      </w:pPr>
      <w:r>
        <w:rPr>
          <w:rFonts w:ascii="宋体" w:hAnsi="宋体" w:cs="宋体"/>
          <w:sz w:val="32"/>
          <w:szCs w:val="32"/>
        </w:rPr>
        <w:t>项目编号：YNKDZB2021-001</w:t>
      </w:r>
    </w:p>
    <w:p>
      <w:pPr>
        <w:kinsoku w:val="0"/>
        <w:overflowPunct w:val="0"/>
        <w:spacing w:line="320" w:lineRule="exact"/>
        <w:rPr>
          <w:rFonts w:eastAsia="Times New Roman" w:hint="default"/>
          <w:sz w:val="32"/>
        </w:rPr>
      </w:pPr>
    </w:p>
    <w:p>
      <w:pPr>
        <w:tabs>
          <w:tab w:val="left" w:pos="2123"/>
          <w:tab w:val="left" w:pos="2925"/>
        </w:tabs>
        <w:kinsoku w:val="0"/>
        <w:overflowPunct w:val="0"/>
        <w:ind w:firstLine="2240" w:firstLineChars="700"/>
        <w:rPr>
          <w:rFonts w:ascii="方正小标宋繁体" w:eastAsia="方正小标宋繁体" w:hAnsi="方正小标宋繁体" w:hint="default"/>
          <w:sz w:val="32"/>
        </w:rPr>
      </w:pPr>
      <w:r>
        <w:rPr>
          <w:rFonts w:ascii="方正小标宋繁体" w:eastAsia="方正小标宋繁体" w:hAnsi="方正小标宋繁体"/>
          <w:sz w:val="32"/>
        </w:rPr>
        <w:t>招  标   人：福贡县林业和草原局</w:t>
      </w:r>
    </w:p>
    <w:p>
      <w:pPr>
        <w:tabs>
          <w:tab w:val="left" w:pos="2925"/>
        </w:tabs>
        <w:kinsoku w:val="0"/>
        <w:overflowPunct w:val="0"/>
        <w:spacing w:before="58" w:line="480" w:lineRule="exact"/>
        <w:ind w:right="1022" w:firstLine="2240" w:firstLineChars="700"/>
        <w:rPr>
          <w:rFonts w:ascii="方正小标宋繁体" w:eastAsia="方正小标宋繁体" w:hAnsi="方正小标宋繁体" w:hint="default"/>
          <w:w w:val="95"/>
          <w:sz w:val="32"/>
        </w:rPr>
      </w:pPr>
      <w:r>
        <w:rPr>
          <w:rFonts w:ascii="方正小标宋繁体" w:eastAsia="方正小标宋繁体" w:hAnsi="方正小标宋繁体"/>
          <w:w w:val="95"/>
          <w:sz w:val="32"/>
        </w:rPr>
        <w:t>招标代理机构：云南凯地招标咨询代理有限公司</w:t>
      </w:r>
    </w:p>
    <w:p>
      <w:pPr>
        <w:tabs>
          <w:tab w:val="left" w:pos="2925"/>
        </w:tabs>
        <w:kinsoku w:val="0"/>
        <w:overflowPunct w:val="0"/>
        <w:spacing w:before="58" w:line="480" w:lineRule="exact"/>
        <w:ind w:right="1022" w:firstLine="960" w:firstLineChars="300"/>
        <w:rPr>
          <w:rFonts w:hint="default"/>
          <w:sz w:val="32"/>
        </w:rPr>
      </w:pPr>
      <w:r>
        <w:rPr>
          <w:rFonts w:ascii="方正小标宋繁体" w:eastAsia="方正小标宋繁体" w:hAnsi="方正小标宋繁体"/>
          <w:spacing w:val="24"/>
          <w:w w:val="99"/>
          <w:sz w:val="32"/>
        </w:rPr>
        <w:t xml:space="preserve">     </w:t>
      </w:r>
      <w:r>
        <w:rPr>
          <w:rFonts w:ascii="方正小标宋繁体" w:eastAsia="方正小标宋繁体" w:hAnsi="方正小标宋繁体"/>
          <w:sz w:val="32"/>
        </w:rPr>
        <w:t xml:space="preserve">日    </w:t>
      </w:r>
      <w:r>
        <w:rPr>
          <w:rFonts w:ascii="方正小标宋繁体" w:eastAsia="方正小标宋繁体" w:hAnsi="方正小标宋繁体"/>
          <w:sz w:val="32"/>
        </w:rPr>
        <w:tab/>
      </w:r>
      <w:r>
        <w:rPr>
          <w:rFonts w:ascii="方正小标宋繁体" w:eastAsia="方正小标宋繁体" w:hAnsi="方正小标宋繁体"/>
          <w:sz w:val="32"/>
        </w:rPr>
        <w:t>期：</w:t>
      </w:r>
      <w:r>
        <w:rPr>
          <w:sz w:val="32"/>
        </w:rPr>
        <w:t>2021年3月</w:t>
      </w:r>
    </w:p>
    <w:p>
      <w:pPr>
        <w:pStyle w:val="BodyText"/>
        <w:rPr>
          <w:rFonts w:hint="default"/>
          <w:sz w:val="32"/>
        </w:rPr>
      </w:pPr>
    </w:p>
    <w:p>
      <w:pPr>
        <w:pStyle w:val="a"/>
        <w:rPr>
          <w:rFonts w:hint="default"/>
        </w:rPr>
      </w:pPr>
    </w:p>
    <w:p>
      <w:pPr>
        <w:pStyle w:val="BodyText"/>
        <w:ind w:left="0"/>
        <w:jc w:val="both"/>
        <w:rPr>
          <w:rFonts w:hint="default"/>
          <w:b/>
          <w:bCs/>
          <w:spacing w:val="-1"/>
          <w:sz w:val="32"/>
          <w:szCs w:val="32"/>
        </w:rPr>
      </w:pPr>
    </w:p>
    <w:p>
      <w:pPr>
        <w:spacing w:line="400" w:lineRule="exact"/>
        <w:jc w:val="center"/>
        <w:rPr>
          <w:rFonts w:ascii="宋体" w:hAnsi="宋体" w:cs="宋体" w:hint="default"/>
          <w:b/>
          <w:szCs w:val="24"/>
        </w:rPr>
      </w:pPr>
      <w:r>
        <w:rPr>
          <w:rFonts w:ascii="宋体" w:hAnsi="宋体" w:cs="宋体"/>
          <w:b/>
          <w:szCs w:val="24"/>
        </w:rPr>
        <w:t>注意事项</w:t>
      </w:r>
    </w:p>
    <w:p>
      <w:pPr>
        <w:spacing w:line="400" w:lineRule="exact"/>
        <w:rPr>
          <w:rFonts w:ascii="宋体" w:hAnsi="宋体" w:cs="宋体" w:hint="default"/>
          <w:b/>
          <w:szCs w:val="24"/>
        </w:rPr>
      </w:pPr>
      <w:r>
        <w:rPr>
          <w:rFonts w:ascii="宋体" w:hAnsi="宋体" w:cs="宋体"/>
          <w:b/>
          <w:szCs w:val="24"/>
        </w:rPr>
        <w:t>各投标人：</w:t>
      </w:r>
    </w:p>
    <w:p>
      <w:pPr>
        <w:spacing w:line="400" w:lineRule="exact"/>
        <w:ind w:firstLine="480" w:firstLineChars="200"/>
        <w:rPr>
          <w:rFonts w:ascii="宋体" w:hAnsi="宋体" w:cs="宋体" w:hint="default"/>
          <w:b/>
          <w:szCs w:val="24"/>
        </w:rPr>
      </w:pPr>
      <w:r>
        <w:rPr>
          <w:rFonts w:ascii="宋体" w:hAnsi="宋体" w:cs="宋体"/>
          <w:b/>
          <w:szCs w:val="24"/>
        </w:rPr>
        <w:t>一、网上报名及网上投递电子投标文件严格按照怒江州公共资源交易电子化平台报名操作进行，不规范操作导致的投标风险自行承担。</w:t>
      </w:r>
    </w:p>
    <w:p>
      <w:pPr>
        <w:spacing w:line="400" w:lineRule="exact"/>
        <w:ind w:firstLine="480" w:firstLineChars="200"/>
        <w:rPr>
          <w:rFonts w:ascii="宋体" w:hAnsi="宋体" w:cs="宋体" w:hint="default"/>
          <w:b/>
          <w:szCs w:val="24"/>
        </w:rPr>
      </w:pPr>
      <w:r>
        <w:rPr>
          <w:rFonts w:ascii="宋体" w:hAnsi="宋体" w:cs="宋体"/>
          <w:b/>
          <w:szCs w:val="24"/>
        </w:rPr>
        <w:t>二、开标当天请投标人携带您认为必要的资料外，还须随身携带下列证明材料以供采购人、监督人员登记验收：</w:t>
      </w:r>
    </w:p>
    <w:p>
      <w:pPr>
        <w:spacing w:line="400" w:lineRule="exact"/>
        <w:ind w:firstLine="480" w:firstLineChars="200"/>
        <w:rPr>
          <w:rFonts w:ascii="宋体" w:hAnsi="宋体" w:cs="宋体" w:hint="default"/>
          <w:b/>
          <w:szCs w:val="24"/>
        </w:rPr>
      </w:pPr>
      <w:r>
        <w:rPr>
          <w:rFonts w:ascii="宋体" w:hAnsi="宋体" w:cs="宋体"/>
          <w:b/>
          <w:szCs w:val="24"/>
        </w:rPr>
        <w:t>1、有效的营业执照副本（原件）；</w:t>
      </w:r>
    </w:p>
    <w:p>
      <w:pPr>
        <w:spacing w:line="400" w:lineRule="exact"/>
        <w:ind w:firstLine="480" w:firstLineChars="200"/>
        <w:rPr>
          <w:rFonts w:ascii="宋体" w:hAnsi="宋体" w:cs="宋体" w:hint="default"/>
          <w:b/>
          <w:szCs w:val="24"/>
        </w:rPr>
      </w:pPr>
      <w:r>
        <w:rPr>
          <w:rFonts w:cs="宋体"/>
          <w:b/>
          <w:szCs w:val="24"/>
        </w:rPr>
        <w:t>2</w:t>
      </w:r>
      <w:r>
        <w:rPr>
          <w:rFonts w:ascii="宋体" w:hAnsi="宋体" w:cs="宋体"/>
          <w:b/>
          <w:szCs w:val="24"/>
        </w:rPr>
        <w:t>、被授权人（或法定代表人）本人的身份证（原件）；</w:t>
      </w:r>
    </w:p>
    <w:p>
      <w:pPr>
        <w:spacing w:line="400" w:lineRule="exact"/>
        <w:ind w:firstLine="480" w:firstLineChars="200"/>
        <w:rPr>
          <w:rFonts w:ascii="宋体" w:hAnsi="宋体" w:cs="宋体" w:hint="default"/>
          <w:b/>
          <w:szCs w:val="24"/>
        </w:rPr>
      </w:pPr>
      <w:r>
        <w:rPr>
          <w:rFonts w:cs="宋体"/>
          <w:b/>
          <w:szCs w:val="24"/>
        </w:rPr>
        <w:t>3</w:t>
      </w:r>
      <w:r>
        <w:rPr>
          <w:rFonts w:ascii="宋体" w:hAnsi="宋体" w:cs="宋体"/>
          <w:b/>
          <w:szCs w:val="24"/>
        </w:rPr>
        <w:t>、授权委托书（原件）（若法定代表人出席开标会，就不需要提供授权委托书）；</w:t>
      </w:r>
    </w:p>
    <w:p>
      <w:pPr>
        <w:spacing w:line="400" w:lineRule="exact"/>
        <w:ind w:firstLine="480" w:firstLineChars="200"/>
        <w:rPr>
          <w:rFonts w:ascii="宋体" w:hAnsi="宋体" w:cs="宋体" w:hint="default"/>
          <w:b/>
          <w:szCs w:val="24"/>
        </w:rPr>
      </w:pPr>
      <w:r>
        <w:rPr>
          <w:rFonts w:cs="宋体"/>
          <w:b/>
          <w:szCs w:val="24"/>
        </w:rPr>
        <w:t>4</w:t>
      </w:r>
      <w:r>
        <w:rPr>
          <w:rFonts w:ascii="宋体" w:hAnsi="宋体" w:cs="宋体"/>
          <w:b/>
          <w:szCs w:val="24"/>
        </w:rPr>
        <w:t>、投标单位开户许可证彩色复印件（加盖单位鲜章）；</w:t>
      </w:r>
    </w:p>
    <w:p>
      <w:pPr>
        <w:spacing w:line="400" w:lineRule="exact"/>
        <w:ind w:firstLine="480" w:firstLineChars="200"/>
        <w:rPr>
          <w:rFonts w:ascii="宋体" w:hAnsi="宋体" w:cs="宋体" w:hint="default"/>
          <w:b/>
          <w:szCs w:val="24"/>
        </w:rPr>
      </w:pPr>
      <w:r>
        <w:rPr>
          <w:rFonts w:cs="宋体"/>
          <w:b/>
          <w:szCs w:val="24"/>
        </w:rPr>
        <w:t>5</w:t>
      </w:r>
      <w:r>
        <w:rPr>
          <w:rFonts w:ascii="宋体" w:hAnsi="宋体" w:cs="宋体"/>
          <w:b/>
          <w:szCs w:val="24"/>
        </w:rPr>
        <w:t>、打印“上传投标文件回执”，投标截止时间前未完成投标文件传输的，视为无效投标文件；（加盖单位鲜章）</w:t>
      </w:r>
    </w:p>
    <w:p>
      <w:pPr>
        <w:spacing w:line="400" w:lineRule="exact"/>
        <w:ind w:firstLine="480" w:firstLineChars="200"/>
        <w:rPr>
          <w:rFonts w:ascii="宋体" w:hAnsi="宋体" w:cs="宋体" w:hint="default"/>
          <w:b/>
          <w:szCs w:val="24"/>
        </w:rPr>
      </w:pPr>
      <w:r>
        <w:rPr>
          <w:rFonts w:cs="宋体"/>
          <w:b/>
          <w:szCs w:val="24"/>
        </w:rPr>
        <w:t>6、投标保证金缴纳回执；</w:t>
      </w:r>
      <w:r>
        <w:rPr>
          <w:rFonts w:ascii="宋体" w:hAnsi="宋体" w:cs="宋体"/>
          <w:b/>
          <w:szCs w:val="24"/>
        </w:rPr>
        <w:t>（加盖单位鲜章）</w:t>
      </w:r>
    </w:p>
    <w:p>
      <w:pPr>
        <w:pStyle w:val="BodyText"/>
        <w:rPr>
          <w:rFonts w:cs="宋体" w:hint="default"/>
          <w:b/>
          <w:szCs w:val="24"/>
        </w:rPr>
      </w:pPr>
    </w:p>
    <w:p>
      <w:pPr>
        <w:pStyle w:val="BodyText"/>
        <w:rPr>
          <w:rFonts w:cs="宋体" w:hint="default"/>
          <w:b/>
          <w:szCs w:val="24"/>
        </w:rPr>
      </w:pPr>
    </w:p>
    <w:p>
      <w:pPr>
        <w:spacing w:line="400" w:lineRule="exact"/>
        <w:rPr>
          <w:rFonts w:cs="宋体" w:hint="default"/>
          <w:b/>
          <w:sz w:val="32"/>
          <w:szCs w:val="32"/>
          <w:u w:val="single"/>
        </w:rPr>
      </w:pPr>
      <w:r>
        <w:rPr>
          <w:rFonts w:cs="宋体"/>
          <w:b/>
          <w:sz w:val="32"/>
          <w:szCs w:val="32"/>
          <w:u w:val="single"/>
        </w:rPr>
        <w:t>注： 以上资料不全或不符合要求将取消参加招标会议资格。</w:t>
      </w:r>
    </w:p>
    <w:p>
      <w:pPr>
        <w:pStyle w:val="BodyText"/>
        <w:rPr>
          <w:rFonts w:hint="default"/>
        </w:rPr>
      </w:pPr>
    </w:p>
    <w:p>
      <w:pPr>
        <w:pStyle w:val="BodyText"/>
        <w:rPr>
          <w:rFonts w:hint="default"/>
        </w:rPr>
      </w:pPr>
    </w:p>
    <w:p>
      <w:pPr>
        <w:jc w:val="center"/>
        <w:rPr>
          <w:rFonts w:ascii="仿宋" w:eastAsia="仿宋" w:hAnsi="仿宋" w:cs="宋体" w:hint="default"/>
          <w:b/>
          <w:w w:val="95"/>
          <w:sz w:val="40"/>
          <w:szCs w:val="21"/>
        </w:rPr>
        <w:sectPr>
          <w:headerReference w:type="even" r:id="rId5"/>
          <w:headerReference w:type="default" r:id="rId6"/>
          <w:footerReference w:type="default" r:id="rId7"/>
          <w:pgSz w:w="11906" w:h="16838"/>
          <w:pgMar w:top="1134" w:right="1134" w:bottom="1134" w:left="1134" w:header="624" w:footer="992" w:gutter="0"/>
          <w:cols w:num="1" w:space="708"/>
          <w:docGrid w:linePitch="312" w:charSpace="0"/>
        </w:sectPr>
      </w:pPr>
      <w:r>
        <w:rPr>
          <w:rFonts w:ascii="宋体" w:hAnsi="宋体" w:cs="宋体"/>
          <w:b/>
          <w:bCs/>
          <w:color w:val="000000" w:themeColor="text1"/>
          <w:sz w:val="32"/>
          <w:szCs w:val="24"/>
          <w14:textFill>
            <w14:solidFill>
              <w14:schemeClr w14:val="tx1"/>
            </w14:solidFill>
          </w14:textFill>
        </w:rPr>
        <w:t>温馨提示：疫情期间所有投标人必须严格遵守我县疫情防控的相关规定。投标当日需佩戴口罩，扫健康码才能进场投标。</w:t>
      </w:r>
    </w:p>
    <w:p>
      <w:pPr>
        <w:jc w:val="center"/>
        <w:rPr>
          <w:rFonts w:ascii="仿宋" w:eastAsia="仿宋" w:hAnsi="仿宋" w:cs="宋体" w:hint="default"/>
          <w:b/>
          <w:w w:val="95"/>
          <w:sz w:val="40"/>
          <w:szCs w:val="21"/>
        </w:rPr>
      </w:pPr>
      <w:r>
        <w:rPr>
          <w:rFonts w:ascii="仿宋" w:eastAsia="仿宋" w:hAnsi="仿宋" w:cs="宋体"/>
          <w:b/>
          <w:w w:val="95"/>
          <w:sz w:val="40"/>
          <w:szCs w:val="21"/>
        </w:rPr>
        <w:t>电子投标文件编制及报送要求</w:t>
      </w:r>
    </w:p>
    <w:p>
      <w:pPr>
        <w:rPr>
          <w:rFonts w:ascii="仿宋" w:eastAsia="仿宋" w:hAnsi="仿宋" w:cs="宋体" w:hint="default"/>
          <w:w w:val="95"/>
          <w:szCs w:val="21"/>
        </w:rPr>
      </w:pPr>
      <w:r>
        <w:rPr>
          <w:rFonts w:ascii="仿宋" w:eastAsia="仿宋" w:hAnsi="仿宋" w:cs="宋体"/>
          <w:w w:val="95"/>
          <w:szCs w:val="21"/>
        </w:rPr>
        <w:t>1、电子投标文件的制作必须使用《政府采购投标文件编制系统》，生成电子签名的技术标投标文件，格式为 *.ZCZBJ （此文件必须网上递交，单独刻录U盘密封，提交到开标现场）。如果要求提供电子效果图纸文件 / 电子视频演示文件，也必须使用《政府采购投标文件编制系统》制作生成电子签名的效果图纸文件（格式为 *.ZCTBT ） / 视频演示文件（格式为 *.ZCTBY ），这两个文件无须网上递交上传，需单独刻录一个U盘密封，密封袋上应写明“ XXX 单位电子签名的效果图纸和视频演示文件”，并提交到开标现场，在开标现场由工作人员现场开启U盘并导入开标系统。</w:t>
      </w:r>
    </w:p>
    <w:p>
      <w:pPr>
        <w:rPr>
          <w:rFonts w:ascii="仿宋" w:eastAsia="仿宋" w:hAnsi="仿宋" w:cs="宋体" w:hint="default"/>
          <w:w w:val="95"/>
          <w:szCs w:val="21"/>
        </w:rPr>
      </w:pPr>
      <w:r>
        <w:rPr>
          <w:rFonts w:ascii="仿宋" w:eastAsia="仿宋" w:hAnsi="仿宋" w:cs="宋体"/>
          <w:w w:val="95"/>
          <w:szCs w:val="21"/>
        </w:rPr>
        <w:t xml:space="preserve">      U盘刻录时，请使用正规刻录软件进行刻录 CD 或 DVD U盘，不要对电子投标文件进行压缩，U盘刻录完成后，应检验U盘刻录的服务，检验U盘时不要在本机的刻录光驱上进行，将刻录好的U盘用另外一台电脑的“只读光驱”进行读取测试。测试的方法：将刻录U盘上的投标文件数据拷贝到电脑硬盘上，检查拷贝是否成功，同时使用相应标书文件编制系统或查看工具中的【查看标书】功能对刻录后U盘中的电子标书文件进行查看。</w:t>
      </w:r>
    </w:p>
    <w:p>
      <w:pPr>
        <w:rPr>
          <w:rFonts w:ascii="仿宋" w:eastAsia="仿宋" w:hAnsi="仿宋" w:cs="宋体" w:hint="default"/>
          <w:w w:val="95"/>
          <w:szCs w:val="21"/>
        </w:rPr>
      </w:pPr>
      <w:r>
        <w:rPr>
          <w:rFonts w:ascii="仿宋" w:eastAsia="仿宋" w:hAnsi="仿宋" w:cs="宋体"/>
          <w:w w:val="95"/>
          <w:szCs w:val="21"/>
        </w:rPr>
        <w:t>2、《政府采购投标文件编制系统》提供数字证书（ CA ）对投标文件进行加密功能。投标人对网上递交的投标文件应加密，现场U盘递交的投标文件，由投标人自行选择是否对投标文件进行数字证书（ CA ）加密。如果投标人使用某个数字证书（ CA ）对投标文件进行了数字证书（ CA ）加密，需要在开标会上使用该数字证书（ CA ）进行现场解密，才能读取或导入投标文件，因投标人原因造成投标文件未解密的，视为撤回其投标文件。</w:t>
      </w:r>
    </w:p>
    <w:p>
      <w:pPr>
        <w:rPr>
          <w:rFonts w:ascii="仿宋" w:eastAsia="仿宋" w:hAnsi="仿宋" w:cs="宋体" w:hint="default"/>
          <w:w w:val="95"/>
          <w:szCs w:val="21"/>
        </w:rPr>
      </w:pPr>
      <w:r>
        <w:rPr>
          <w:rFonts w:ascii="仿宋" w:eastAsia="仿宋" w:hAnsi="仿宋" w:cs="宋体"/>
          <w:w w:val="95"/>
          <w:szCs w:val="21"/>
        </w:rPr>
        <w:t>3、网上递交投标文件应根据招标文件要求，在投标截止时间前将电子投标文件通过网上上传指定的开标项目，并打印“上传投标文件回执”，以表明上传成功。</w:t>
      </w:r>
    </w:p>
    <w:p>
      <w:pPr>
        <w:rPr>
          <w:rFonts w:ascii="仿宋" w:eastAsia="仿宋" w:hAnsi="仿宋" w:cs="宋体" w:hint="default"/>
          <w:w w:val="95"/>
          <w:szCs w:val="21"/>
        </w:rPr>
      </w:pPr>
      <w:r>
        <w:rPr>
          <w:rFonts w:ascii="仿宋" w:eastAsia="仿宋" w:hAnsi="仿宋" w:cs="宋体"/>
          <w:w w:val="95"/>
          <w:szCs w:val="21"/>
        </w:rPr>
        <w:t>4、现场U盘递交电子投标文件密封方式：应将刻录好的投标文件U盘密封在密封袋中，并在封口处加盖投标人单位鲜章。密封袋上应写明的内容见投标人须知前附表要求。</w:t>
      </w:r>
    </w:p>
    <w:p>
      <w:pPr>
        <w:rPr>
          <w:rFonts w:ascii="仿宋" w:eastAsia="仿宋" w:hAnsi="仿宋" w:cs="宋体" w:hint="default"/>
          <w:w w:val="95"/>
          <w:szCs w:val="21"/>
        </w:rPr>
      </w:pPr>
      <w:r>
        <w:rPr>
          <w:rFonts w:ascii="仿宋" w:eastAsia="仿宋" w:hAnsi="仿宋" w:cs="宋体"/>
          <w:w w:val="95"/>
          <w:szCs w:val="21"/>
        </w:rPr>
        <w:t>5、投标人投标时，须按本附件 “电子投标文件编制及报送要求”规定编制及网上递交电子投标文件，按规定到开标现场递交U盘，如果投标人没有按规定网上递交电子投标文件，视为投标无效，现场U盘不再接收。网上递交投标文件、现场U盘内容必须完全一致，如网上递交与现场递交不一致，以网上递交为准。</w:t>
      </w:r>
    </w:p>
    <w:p>
      <w:pPr>
        <w:rPr>
          <w:rFonts w:ascii="仿宋" w:eastAsia="仿宋" w:hAnsi="仿宋" w:cs="宋体" w:hint="default"/>
          <w:w w:val="95"/>
          <w:szCs w:val="21"/>
        </w:rPr>
      </w:pPr>
      <w:r>
        <w:rPr>
          <w:rFonts w:ascii="仿宋" w:eastAsia="仿宋" w:hAnsi="仿宋" w:cs="宋体"/>
          <w:w w:val="95"/>
          <w:szCs w:val="21"/>
        </w:rPr>
        <w:t>6、该投标文件制作及报送要求如果与招标文件规定不一致，以此投标文件制作及报送要求为准。</w:t>
      </w:r>
    </w:p>
    <w:p>
      <w:pPr>
        <w:rPr>
          <w:rFonts w:ascii="仿宋" w:eastAsia="仿宋" w:hAnsi="仿宋" w:cs="宋体" w:hint="default"/>
          <w:w w:val="95"/>
          <w:szCs w:val="21"/>
        </w:rPr>
      </w:pPr>
      <w:r>
        <w:rPr>
          <w:rFonts w:ascii="仿宋" w:eastAsia="仿宋" w:hAnsi="仿宋" w:cs="宋体"/>
          <w:w w:val="95"/>
          <w:szCs w:val="21"/>
        </w:rPr>
        <w:t>7、潜在投标人电汇和网银到保证金专项银行账户后，潜在投标人需要使用数字证书（CA）登陆网上对所投标项目标段的投标保证金金额进行确认并打印回执。</w:t>
      </w:r>
    </w:p>
    <w:p>
      <w:pPr>
        <w:rPr>
          <w:rFonts w:ascii="仿宋" w:eastAsia="仿宋" w:hAnsi="仿宋" w:cs="宋体" w:hint="default"/>
          <w:w w:val="95"/>
          <w:szCs w:val="21"/>
        </w:rPr>
      </w:pPr>
      <w:r>
        <w:rPr>
          <w:rFonts w:ascii="仿宋" w:eastAsia="仿宋" w:hAnsi="仿宋" w:cs="宋体"/>
          <w:w w:val="95"/>
          <w:szCs w:val="21"/>
        </w:rPr>
        <w:t>8、在编制技术标投标文件时，粘贴图片使用JPG格式的文件，并且每张图片的分辩率应小于100dpi，最终的每份标书文件所占用的磁盘空间必须小于100M。</w:t>
      </w:r>
    </w:p>
    <w:p>
      <w:pPr>
        <w:pStyle w:val="TOC1"/>
        <w:tabs>
          <w:tab w:val="clear" w:pos="9072"/>
          <w:tab w:val="right" w:leader="dot" w:pos="9119"/>
        </w:tabs>
        <w:ind w:firstLine="198"/>
        <w:jc w:val="center"/>
        <w:rPr>
          <w:rFonts w:hint="default"/>
          <w:spacing w:val="-1"/>
          <w:sz w:val="28"/>
        </w:rPr>
      </w:pPr>
      <w:r>
        <w:rPr>
          <w:rFonts w:ascii="仿宋" w:eastAsia="仿宋" w:hAnsi="仿宋" w:cs="宋体"/>
          <w:w w:val="95"/>
          <w:sz w:val="28"/>
          <w:szCs w:val="21"/>
        </w:rPr>
        <w:t>注：不同单位的投标文件若芯片序列号、硬盘序列号、网卡序列号一致，视为由同一台电脑编制！</w:t>
      </w:r>
    </w:p>
    <w:p>
      <w:pPr>
        <w:pStyle w:val="BodyText"/>
        <w:rPr>
          <w:rFonts w:hint="default"/>
          <w:spacing w:val="-1"/>
          <w:sz w:val="28"/>
        </w:rPr>
      </w:pPr>
    </w:p>
    <w:p>
      <w:pPr>
        <w:pStyle w:val="PlainText"/>
        <w:ind w:firstLine="3960" w:firstLineChars="900"/>
        <w:jc w:val="both"/>
        <w:rPr>
          <w:rFonts w:hAnsi="宋体" w:hint="default"/>
          <w:b/>
          <w:sz w:val="44"/>
        </w:rPr>
      </w:pPr>
      <w:bookmarkStart w:id="0" w:name="_Toc396092984"/>
      <w:bookmarkStart w:id="1" w:name="_Toc213141093"/>
      <w:bookmarkStart w:id="2" w:name="_Toc348009990"/>
      <w:r>
        <w:rPr>
          <w:rFonts w:hAnsi="宋体"/>
          <w:b/>
          <w:sz w:val="44"/>
        </w:rPr>
        <w:t>目   录</w:t>
      </w:r>
    </w:p>
    <w:p>
      <w:pPr>
        <w:pStyle w:val="TOC1"/>
        <w:ind w:firstLine="156"/>
        <w:rPr>
          <w:rFonts w:ascii="Calibri" w:hAnsi="Calibri" w:cs="黑体" w:hint="default"/>
          <w:b w:val="0"/>
          <w:bCs w:val="0"/>
          <w:caps w:val="0"/>
          <w:sz w:val="21"/>
          <w:szCs w:val="22"/>
        </w:rPr>
      </w:pPr>
      <w:r>
        <w:rPr>
          <w:rFonts w:ascii="宋体" w:hAnsi="宋体"/>
          <w:sz w:val="21"/>
          <w:szCs w:val="21"/>
        </w:rPr>
        <w:fldChar w:fldCharType="begin"/>
      </w:r>
      <w:r>
        <w:rPr>
          <w:rFonts w:ascii="宋体" w:hAnsi="宋体"/>
          <w:sz w:val="21"/>
          <w:szCs w:val="21"/>
        </w:rPr>
        <w:instrText xml:space="preserve"> TOC \o "1-3" \h \z \u </w:instrText>
      </w:r>
      <w:r>
        <w:rPr>
          <w:rFonts w:ascii="宋体" w:hAnsi="宋体"/>
          <w:sz w:val="21"/>
          <w:szCs w:val="21"/>
        </w:rPr>
        <w:fldChar w:fldCharType="separate"/>
      </w:r>
      <w:r>
        <w:fldChar w:fldCharType="begin"/>
      </w:r>
      <w:r>
        <w:instrText xml:space="preserve"> HYPERLINK \l "_Toc396092964" </w:instrText>
      </w:r>
      <w:r>
        <w:fldChar w:fldCharType="separate"/>
      </w:r>
      <w:r>
        <w:rPr>
          <w:rFonts w:ascii="宋体" w:hAnsi="宋体"/>
        </w:rPr>
        <w:t>第一章  招标公告</w:t>
      </w:r>
      <w:r>
        <w:tab/>
      </w:r>
      <w:r>
        <w:fldChar w:fldCharType="begin"/>
      </w:r>
      <w:r>
        <w:instrText xml:space="preserve"> PAGEREF _Toc396092964 \h </w:instrText>
      </w:r>
      <w:r>
        <w:fldChar w:fldCharType="separate"/>
      </w:r>
      <w:r>
        <w:t>5</w:t>
      </w:r>
      <w:r>
        <w:fldChar w:fldCharType="end"/>
      </w:r>
      <w:r>
        <w:fldChar w:fldCharType="end"/>
      </w:r>
    </w:p>
    <w:p>
      <w:pPr>
        <w:pStyle w:val="TOC2"/>
        <w:ind w:firstLine="420"/>
        <w:rPr>
          <w:rFonts w:ascii="Calibri" w:hAnsi="Calibri" w:cs="黑体" w:hint="default"/>
          <w:smallCaps w:val="0"/>
          <w:sz w:val="21"/>
          <w:szCs w:val="22"/>
        </w:rPr>
      </w:pPr>
    </w:p>
    <w:p>
      <w:pPr>
        <w:pStyle w:val="TOC1"/>
        <w:ind w:firstLine="149"/>
        <w:rPr>
          <w:rFonts w:ascii="Calibri" w:hAnsi="Calibri" w:cs="黑体" w:hint="default"/>
          <w:b w:val="0"/>
          <w:bCs w:val="0"/>
          <w:caps w:val="0"/>
          <w:sz w:val="21"/>
          <w:szCs w:val="22"/>
        </w:rPr>
      </w:pPr>
      <w:r>
        <w:fldChar w:fldCharType="begin"/>
      </w:r>
      <w:r>
        <w:instrText xml:space="preserve"> HYPERLINK \l "_Toc396092972" </w:instrText>
      </w:r>
      <w:r>
        <w:fldChar w:fldCharType="separate"/>
      </w:r>
      <w:r>
        <w:rPr>
          <w:rFonts w:ascii="宋体" w:hAnsi="宋体"/>
        </w:rPr>
        <w:t>第二章  投标人须知</w:t>
      </w:r>
      <w:r>
        <w:tab/>
      </w:r>
      <w:r>
        <w:t>9</w:t>
      </w:r>
      <w:r>
        <w:fldChar w:fldCharType="end"/>
      </w:r>
    </w:p>
    <w:p>
      <w:pPr>
        <w:pStyle w:val="TOC2"/>
        <w:ind w:firstLine="420"/>
        <w:rPr>
          <w:rFonts w:ascii="Calibri" w:hAnsi="Calibri" w:cs="黑体" w:hint="default"/>
          <w:smallCaps w:val="0"/>
          <w:sz w:val="21"/>
          <w:szCs w:val="22"/>
        </w:rPr>
      </w:pPr>
    </w:p>
    <w:p>
      <w:pPr>
        <w:pStyle w:val="TOC1"/>
        <w:ind w:firstLine="149"/>
        <w:rPr>
          <w:rFonts w:ascii="Calibri" w:hAnsi="Calibri" w:cs="黑体" w:hint="default"/>
          <w:b w:val="0"/>
          <w:bCs w:val="0"/>
          <w:caps w:val="0"/>
          <w:sz w:val="21"/>
          <w:szCs w:val="22"/>
        </w:rPr>
      </w:pPr>
      <w:r>
        <w:fldChar w:fldCharType="begin"/>
      </w:r>
      <w:r>
        <w:instrText xml:space="preserve"> HYPERLINK \l "_Toc396092981" </w:instrText>
      </w:r>
      <w:r>
        <w:fldChar w:fldCharType="separate"/>
      </w:r>
      <w:r>
        <w:rPr>
          <w:rFonts w:ascii="宋体" w:hAnsi="宋体"/>
        </w:rPr>
        <w:t>第三章  合同书样式及主要条款</w:t>
      </w:r>
      <w:r>
        <w:tab/>
      </w:r>
      <w:r>
        <w:t>2</w:t>
      </w:r>
      <w:r>
        <w:fldChar w:fldCharType="end"/>
      </w:r>
      <w:r>
        <w:t>4</w:t>
      </w:r>
    </w:p>
    <w:p>
      <w:pPr>
        <w:pStyle w:val="TOC1"/>
        <w:ind w:firstLine="149"/>
        <w:rPr>
          <w:rFonts w:hint="default"/>
        </w:rPr>
      </w:pPr>
    </w:p>
    <w:p>
      <w:pPr>
        <w:pStyle w:val="TOC1"/>
        <w:ind w:firstLine="149"/>
        <w:rPr>
          <w:rFonts w:ascii="Calibri" w:hAnsi="Calibri" w:cs="黑体" w:hint="default"/>
          <w:b w:val="0"/>
          <w:bCs w:val="0"/>
          <w:caps w:val="0"/>
          <w:sz w:val="21"/>
          <w:szCs w:val="22"/>
        </w:rPr>
      </w:pPr>
      <w:r>
        <w:fldChar w:fldCharType="begin"/>
      </w:r>
      <w:r>
        <w:instrText xml:space="preserve"> HYPERLINK \l "_Toc396092983" </w:instrText>
      </w:r>
      <w:r>
        <w:fldChar w:fldCharType="separate"/>
      </w:r>
      <w:r>
        <w:rPr>
          <w:rFonts w:ascii="宋体" w:hAnsi="宋体"/>
        </w:rPr>
        <w:t>第四章  投标文件格式</w:t>
      </w:r>
      <w:r>
        <w:tab/>
      </w:r>
      <w:r>
        <w:fldChar w:fldCharType="end"/>
      </w:r>
      <w:r>
        <w:t>29</w:t>
      </w:r>
    </w:p>
    <w:p>
      <w:pPr>
        <w:pStyle w:val="TOC1"/>
        <w:ind w:firstLine="0" w:firstLineChars="0"/>
        <w:rPr>
          <w:rFonts w:hint="default"/>
        </w:rPr>
      </w:pPr>
    </w:p>
    <w:p>
      <w:pPr>
        <w:pStyle w:val="TOC1"/>
        <w:ind w:firstLine="0" w:firstLineChars="0"/>
        <w:rPr>
          <w:rFonts w:ascii="Calibri" w:hAnsi="Calibri" w:cs="黑体" w:hint="default"/>
          <w:b w:val="0"/>
          <w:bCs w:val="0"/>
          <w:caps w:val="0"/>
          <w:sz w:val="21"/>
          <w:szCs w:val="22"/>
        </w:rPr>
      </w:pPr>
      <w:r>
        <w:t xml:space="preserve">  </w:t>
      </w:r>
      <w:r>
        <w:fldChar w:fldCharType="begin"/>
      </w:r>
      <w:r>
        <w:instrText xml:space="preserve"> HYPERLINK \l "_Toc396093001" </w:instrText>
      </w:r>
      <w:r>
        <w:fldChar w:fldCharType="separate"/>
      </w:r>
      <w:r>
        <w:rPr>
          <w:rFonts w:ascii="宋体" w:hAnsi="宋体"/>
        </w:rPr>
        <w:t>第五章  技术要求</w:t>
      </w:r>
      <w:r>
        <w:tab/>
      </w:r>
      <w:r>
        <w:fldChar w:fldCharType="begin"/>
      </w:r>
      <w:r>
        <w:instrText xml:space="preserve"> PAGEREF _Toc396093001 \h </w:instrText>
      </w:r>
      <w:r>
        <w:fldChar w:fldCharType="separate"/>
      </w:r>
      <w:r>
        <w:t>44</w:t>
      </w:r>
      <w:r>
        <w:fldChar w:fldCharType="end"/>
      </w:r>
      <w:r>
        <w:fldChar w:fldCharType="end"/>
      </w:r>
    </w:p>
    <w:p>
      <w:pPr>
        <w:pStyle w:val="TOC1"/>
        <w:ind w:firstLine="149"/>
        <w:rPr>
          <w:rFonts w:hint="default"/>
        </w:rPr>
      </w:pPr>
    </w:p>
    <w:p>
      <w:pPr>
        <w:pStyle w:val="TOC1"/>
        <w:ind w:firstLine="149"/>
        <w:rPr>
          <w:rFonts w:ascii="Calibri" w:hAnsi="Calibri" w:cs="黑体" w:hint="default"/>
          <w:b w:val="0"/>
          <w:bCs w:val="0"/>
          <w:caps w:val="0"/>
          <w:sz w:val="21"/>
          <w:szCs w:val="22"/>
        </w:rPr>
      </w:pPr>
      <w:r>
        <w:fldChar w:fldCharType="begin"/>
      </w:r>
      <w:r>
        <w:instrText xml:space="preserve"> HYPERLINK \l "_Toc396093004" </w:instrText>
      </w:r>
      <w:r>
        <w:fldChar w:fldCharType="separate"/>
      </w:r>
      <w:r>
        <w:rPr>
          <w:rFonts w:ascii="宋体" w:hAnsi="宋体"/>
        </w:rPr>
        <w:t>第六章  评标办法</w:t>
      </w:r>
      <w:r>
        <w:tab/>
      </w:r>
      <w:r>
        <w:t>5</w:t>
      </w:r>
      <w:r>
        <w:fldChar w:fldCharType="end"/>
      </w:r>
      <w:r>
        <w:t>2</w:t>
      </w:r>
    </w:p>
    <w:p>
      <w:pPr>
        <w:pStyle w:val="BodyText"/>
        <w:rPr>
          <w:rFonts w:hint="default"/>
          <w:sz w:val="21"/>
          <w:szCs w:val="21"/>
        </w:rPr>
      </w:pPr>
      <w:r>
        <w:rPr>
          <w:sz w:val="21"/>
          <w:szCs w:val="21"/>
        </w:rPr>
        <w:fldChar w:fldCharType="end"/>
      </w:r>
    </w:p>
    <w:p>
      <w:pPr>
        <w:pStyle w:val="BodyText"/>
        <w:rPr>
          <w:rFonts w:hint="default"/>
          <w:sz w:val="21"/>
          <w:szCs w:val="21"/>
        </w:rPr>
      </w:pPr>
    </w:p>
    <w:p>
      <w:pPr>
        <w:pStyle w:val="BodyText"/>
        <w:rPr>
          <w:rFonts w:hint="default"/>
          <w:sz w:val="21"/>
          <w:szCs w:val="21"/>
        </w:rPr>
      </w:pPr>
    </w:p>
    <w:p>
      <w:pPr>
        <w:pStyle w:val="BodyText"/>
        <w:rPr>
          <w:rFonts w:hint="default"/>
          <w:sz w:val="21"/>
          <w:szCs w:val="21"/>
        </w:rPr>
      </w:pPr>
    </w:p>
    <w:p>
      <w:pPr>
        <w:pStyle w:val="BodyText"/>
        <w:rPr>
          <w:rFonts w:hint="default"/>
          <w:sz w:val="21"/>
          <w:szCs w:val="21"/>
        </w:rPr>
      </w:pPr>
    </w:p>
    <w:p>
      <w:pPr>
        <w:pStyle w:val="BodyText"/>
        <w:rPr>
          <w:rFonts w:hint="default"/>
          <w:sz w:val="21"/>
          <w:szCs w:val="21"/>
        </w:rPr>
      </w:pPr>
    </w:p>
    <w:p>
      <w:pPr>
        <w:pStyle w:val="BodyText"/>
        <w:rPr>
          <w:rFonts w:hint="default"/>
          <w:sz w:val="21"/>
          <w:szCs w:val="21"/>
        </w:rPr>
      </w:pPr>
    </w:p>
    <w:p>
      <w:pPr>
        <w:pStyle w:val="BodyText"/>
        <w:rPr>
          <w:rFonts w:hint="default"/>
          <w:sz w:val="21"/>
          <w:szCs w:val="21"/>
        </w:rPr>
      </w:pPr>
    </w:p>
    <w:p>
      <w:pPr>
        <w:pStyle w:val="BodyText"/>
        <w:rPr>
          <w:rFonts w:hint="default"/>
          <w:sz w:val="21"/>
          <w:szCs w:val="21"/>
        </w:rPr>
      </w:pPr>
    </w:p>
    <w:p>
      <w:pPr>
        <w:pStyle w:val="BodyText"/>
        <w:rPr>
          <w:rFonts w:hint="default"/>
          <w:sz w:val="21"/>
          <w:szCs w:val="21"/>
        </w:rPr>
      </w:pPr>
    </w:p>
    <w:p>
      <w:pPr>
        <w:pStyle w:val="BodyText"/>
        <w:rPr>
          <w:rFonts w:hint="default"/>
          <w:sz w:val="21"/>
          <w:szCs w:val="21"/>
        </w:rPr>
      </w:pPr>
    </w:p>
    <w:p>
      <w:pPr>
        <w:pStyle w:val="BodyText"/>
        <w:rPr>
          <w:rFonts w:hint="default"/>
          <w:sz w:val="21"/>
          <w:szCs w:val="21"/>
        </w:rPr>
      </w:pPr>
    </w:p>
    <w:p>
      <w:pPr>
        <w:pStyle w:val="BodyText"/>
        <w:rPr>
          <w:rFonts w:hint="default"/>
          <w:sz w:val="32"/>
          <w:szCs w:val="32"/>
        </w:rPr>
      </w:pPr>
    </w:p>
    <w:p>
      <w:pPr>
        <w:pStyle w:val="BodyText"/>
        <w:rPr>
          <w:rFonts w:hint="default"/>
          <w:sz w:val="32"/>
          <w:szCs w:val="32"/>
        </w:rPr>
      </w:pPr>
    </w:p>
    <w:p>
      <w:pPr>
        <w:pStyle w:val="BodyText"/>
        <w:rPr>
          <w:rFonts w:hint="default"/>
          <w:sz w:val="32"/>
          <w:szCs w:val="32"/>
        </w:rPr>
      </w:pPr>
    </w:p>
    <w:p>
      <w:pPr>
        <w:pStyle w:val="BodyText"/>
        <w:ind w:left="0"/>
        <w:rPr>
          <w:rFonts w:hint="default"/>
          <w:sz w:val="21"/>
          <w:szCs w:val="21"/>
        </w:rPr>
      </w:pPr>
      <w:bookmarkEnd w:id="0"/>
      <w:bookmarkEnd w:id="1"/>
      <w:bookmarkEnd w:id="2"/>
    </w:p>
    <w:p>
      <w:pPr>
        <w:pStyle w:val="Heading1"/>
        <w:jc w:val="center"/>
        <w:rPr>
          <w:rFonts w:ascii="宋体" w:eastAsia="宋体" w:hAnsi="宋体" w:hint="default"/>
          <w:bCs/>
          <w:sz w:val="36"/>
        </w:rPr>
      </w:pPr>
      <w:bookmarkStart w:id="3" w:name="_Toc396092964"/>
      <w:bookmarkStart w:id="4" w:name="OLE_LINK23"/>
      <w:bookmarkStart w:id="5" w:name="OLE_LINK11"/>
      <w:r>
        <w:rPr>
          <w:rFonts w:ascii="宋体" w:eastAsia="宋体" w:hAnsi="宋体"/>
          <w:bCs/>
          <w:sz w:val="36"/>
        </w:rPr>
        <w:t>第一章 招标公告</w:t>
      </w:r>
      <w:bookmarkEnd w:id="3"/>
    </w:p>
    <w:p>
      <w:pPr>
        <w:pStyle w:val="BodyText"/>
        <w:jc w:val="center"/>
        <w:rPr>
          <w:rFonts w:hint="default"/>
        </w:rPr>
      </w:pPr>
      <w:bookmarkEnd w:id="4"/>
      <w:bookmarkEnd w:id="5"/>
      <w:r>
        <w:t>福贡县林业和草原局护林员巡护装备购买项目</w:t>
      </w:r>
    </w:p>
    <w:p>
      <w:pPr>
        <w:pBdr>
          <w:top w:val="single" w:sz="4" w:space="1" w:color="auto"/>
          <w:left w:val="single" w:sz="4" w:space="4" w:color="auto"/>
          <w:bottom w:val="single" w:sz="4" w:space="1" w:color="auto"/>
          <w:right w:val="single" w:sz="4" w:space="4" w:color="auto"/>
        </w:pBdr>
        <w:spacing w:line="460" w:lineRule="exact"/>
        <w:ind w:firstLine="420" w:firstLineChars="200"/>
        <w:rPr>
          <w:rFonts w:ascii="宋体" w:hAnsi="宋体" w:hint="default"/>
          <w:b/>
          <w:sz w:val="21"/>
          <w:szCs w:val="21"/>
        </w:rPr>
      </w:pPr>
      <w:r>
        <w:rPr>
          <w:rFonts w:ascii="宋体" w:hAnsi="宋体"/>
          <w:b/>
          <w:sz w:val="21"/>
          <w:szCs w:val="21"/>
        </w:rPr>
        <w:t>项目概况</w:t>
      </w:r>
    </w:p>
    <w:p>
      <w:pPr>
        <w:pBdr>
          <w:top w:val="single" w:sz="4" w:space="1" w:color="auto"/>
          <w:left w:val="single" w:sz="4" w:space="4" w:color="auto"/>
          <w:bottom w:val="single" w:sz="4" w:space="1" w:color="auto"/>
          <w:right w:val="single" w:sz="4" w:space="4" w:color="auto"/>
        </w:pBdr>
        <w:spacing w:line="460" w:lineRule="exact"/>
        <w:ind w:firstLine="420" w:firstLineChars="200"/>
        <w:rPr>
          <w:rFonts w:ascii="宋体" w:hAnsi="宋体" w:hint="default"/>
          <w:sz w:val="21"/>
          <w:szCs w:val="21"/>
        </w:rPr>
      </w:pPr>
      <w:r>
        <w:rPr>
          <w:rFonts w:ascii="宋体" w:hAnsi="宋体"/>
          <w:sz w:val="21"/>
          <w:szCs w:val="21"/>
          <w:u w:val="single"/>
        </w:rPr>
        <w:t xml:space="preserve">福贡县林业和草原局护林员巡护装备购买项目 </w:t>
      </w:r>
      <w:r>
        <w:rPr>
          <w:rFonts w:ascii="宋体" w:hAnsi="宋体"/>
          <w:sz w:val="21"/>
          <w:szCs w:val="21"/>
        </w:rPr>
        <w:t>的潜在投标人应在</w:t>
      </w:r>
      <w:r>
        <w:rPr>
          <w:rFonts w:ascii="宋体" w:hAnsi="宋体"/>
          <w:sz w:val="21"/>
          <w:szCs w:val="21"/>
          <w:u w:val="single"/>
        </w:rPr>
        <w:t>怒江州公共资源交易电子服务系统（http://182.246.203.127:8001/）</w:t>
      </w:r>
      <w:r>
        <w:rPr>
          <w:rFonts w:ascii="宋体" w:hAnsi="宋体"/>
          <w:sz w:val="21"/>
          <w:szCs w:val="21"/>
        </w:rPr>
        <w:t>获取招标文件，并于</w:t>
      </w:r>
      <w:r>
        <w:rPr>
          <w:rFonts w:ascii="宋体" w:hAnsi="宋体"/>
          <w:sz w:val="21"/>
          <w:szCs w:val="21"/>
          <w:u w:val="single"/>
        </w:rPr>
        <w:t xml:space="preserve"> </w:t>
      </w:r>
      <w:r>
        <w:rPr>
          <w:rFonts w:ascii="宋体" w:hAnsi="宋体" w:hint="eastAsia"/>
          <w:sz w:val="21"/>
          <w:szCs w:val="21"/>
          <w:u w:val="single"/>
          <w:lang w:val="en-US" w:eastAsia="zh-CN"/>
        </w:rPr>
        <w:t xml:space="preserve">2021 </w:t>
      </w:r>
      <w:r>
        <w:rPr>
          <w:rFonts w:ascii="宋体" w:hAnsi="宋体"/>
          <w:sz w:val="21"/>
          <w:szCs w:val="21"/>
          <w:u w:val="single"/>
        </w:rPr>
        <w:t>年</w:t>
      </w:r>
      <w:r>
        <w:rPr>
          <w:rFonts w:ascii="宋体" w:hAnsi="宋体" w:hint="eastAsia"/>
          <w:sz w:val="21"/>
          <w:szCs w:val="21"/>
          <w:u w:val="single"/>
          <w:lang w:val="en-US" w:eastAsia="zh-CN"/>
        </w:rPr>
        <w:t xml:space="preserve"> 4</w:t>
      </w:r>
      <w:r>
        <w:rPr>
          <w:rFonts w:ascii="宋体" w:hAnsi="宋体"/>
          <w:sz w:val="21"/>
          <w:szCs w:val="21"/>
          <w:u w:val="single"/>
        </w:rPr>
        <w:t>月</w:t>
      </w:r>
      <w:r>
        <w:rPr>
          <w:rFonts w:ascii="宋体" w:hAnsi="宋体" w:hint="eastAsia"/>
          <w:sz w:val="21"/>
          <w:szCs w:val="21"/>
          <w:u w:val="single"/>
          <w:lang w:val="en-US" w:eastAsia="zh-CN"/>
        </w:rPr>
        <w:t>13</w:t>
      </w:r>
      <w:r>
        <w:rPr>
          <w:rFonts w:ascii="宋体" w:hAnsi="宋体"/>
          <w:sz w:val="21"/>
          <w:szCs w:val="21"/>
          <w:u w:val="single"/>
        </w:rPr>
        <w:t>日</w:t>
      </w:r>
      <w:r>
        <w:rPr>
          <w:rFonts w:ascii="宋体" w:hAnsi="宋体" w:hint="eastAsia"/>
          <w:sz w:val="21"/>
          <w:szCs w:val="21"/>
          <w:u w:val="single"/>
          <w:lang w:val="en-US" w:eastAsia="zh-CN"/>
        </w:rPr>
        <w:t xml:space="preserve">09 </w:t>
      </w:r>
      <w:r>
        <w:rPr>
          <w:rFonts w:ascii="宋体" w:hAnsi="宋体"/>
          <w:sz w:val="21"/>
          <w:szCs w:val="21"/>
          <w:u w:val="single"/>
        </w:rPr>
        <w:t>时</w:t>
      </w:r>
      <w:r>
        <w:rPr>
          <w:rFonts w:ascii="宋体" w:hAnsi="宋体" w:hint="eastAsia"/>
          <w:sz w:val="21"/>
          <w:szCs w:val="21"/>
          <w:u w:val="single"/>
          <w:lang w:val="en-US" w:eastAsia="zh-CN"/>
        </w:rPr>
        <w:t>00</w:t>
      </w:r>
      <w:r>
        <w:rPr>
          <w:rFonts w:ascii="宋体" w:hAnsi="宋体"/>
          <w:sz w:val="21"/>
          <w:szCs w:val="21"/>
          <w:u w:val="single"/>
        </w:rPr>
        <w:t>分</w:t>
      </w:r>
      <w:r>
        <w:rPr>
          <w:rFonts w:ascii="宋体" w:hAnsi="宋体"/>
          <w:bCs/>
          <w:sz w:val="21"/>
          <w:szCs w:val="21"/>
        </w:rPr>
        <w:t>（北京时间）前提交投标文件</w:t>
      </w:r>
      <w:r>
        <w:rPr>
          <w:rFonts w:ascii="宋体" w:hAnsi="宋体"/>
          <w:sz w:val="21"/>
          <w:szCs w:val="21"/>
        </w:rPr>
        <w:t>。</w:t>
      </w:r>
    </w:p>
    <w:p>
      <w:pPr>
        <w:widowControl/>
        <w:spacing w:line="432" w:lineRule="exact"/>
        <w:ind w:firstLine="424" w:firstLineChars="202"/>
        <w:rPr>
          <w:rFonts w:ascii="宋体" w:hAnsi="宋体" w:cs="宋体" w:hint="default"/>
          <w:b/>
          <w:sz w:val="21"/>
          <w:szCs w:val="21"/>
        </w:rPr>
      </w:pPr>
      <w:r>
        <w:rPr>
          <w:rFonts w:ascii="宋体" w:hAnsi="宋体" w:cs="宋体"/>
          <w:b/>
          <w:sz w:val="21"/>
          <w:szCs w:val="21"/>
        </w:rPr>
        <w:t>一、项目基本情况</w:t>
      </w:r>
    </w:p>
    <w:p>
      <w:pPr>
        <w:widowControl/>
        <w:spacing w:line="432" w:lineRule="exact"/>
        <w:ind w:firstLine="424" w:firstLineChars="202"/>
        <w:rPr>
          <w:rFonts w:ascii="宋体" w:hAnsi="宋体" w:cs="宋体" w:hint="default"/>
          <w:sz w:val="21"/>
          <w:szCs w:val="21"/>
        </w:rPr>
      </w:pPr>
      <w:r>
        <w:rPr>
          <w:rFonts w:ascii="宋体" w:hAnsi="宋体" w:cs="宋体"/>
          <w:sz w:val="21"/>
          <w:szCs w:val="21"/>
        </w:rPr>
        <w:t>1.项目编号：YNKDZB2021-001</w:t>
      </w:r>
    </w:p>
    <w:p>
      <w:pPr>
        <w:widowControl/>
        <w:spacing w:line="432" w:lineRule="exact"/>
        <w:ind w:firstLine="424" w:firstLineChars="202"/>
        <w:rPr>
          <w:rFonts w:hint="default"/>
        </w:rPr>
      </w:pPr>
      <w:r>
        <w:rPr>
          <w:rFonts w:ascii="宋体" w:hAnsi="宋体" w:cs="宋体"/>
          <w:sz w:val="21"/>
          <w:szCs w:val="21"/>
        </w:rPr>
        <w:t>2.项目名称：</w:t>
      </w:r>
      <w:r>
        <w:t>福贡县林业和草原局护林员巡护装备购买项目</w:t>
      </w:r>
    </w:p>
    <w:p>
      <w:pPr>
        <w:widowControl/>
        <w:spacing w:line="432" w:lineRule="exact"/>
        <w:ind w:firstLine="424" w:firstLineChars="202"/>
        <w:rPr>
          <w:rFonts w:ascii="宋体" w:hAnsi="宋体" w:cs="宋体" w:hint="default"/>
          <w:sz w:val="21"/>
          <w:szCs w:val="21"/>
        </w:rPr>
      </w:pPr>
      <w:r>
        <w:rPr>
          <w:rFonts w:ascii="宋体" w:hAnsi="宋体" w:cs="宋体"/>
          <w:sz w:val="21"/>
          <w:szCs w:val="21"/>
        </w:rPr>
        <w:t>3.预算金额：人民币</w:t>
      </w:r>
      <w:r>
        <w:rPr>
          <w:rFonts w:ascii="宋体" w:hAnsi="宋体" w:cs="宋体"/>
          <w:sz w:val="21"/>
          <w:szCs w:val="21"/>
          <w:u w:val="single"/>
        </w:rPr>
        <w:t xml:space="preserve"> 7596470.00</w:t>
      </w:r>
      <w:r>
        <w:rPr>
          <w:rFonts w:ascii="宋体" w:hAnsi="宋体" w:cs="宋体"/>
          <w:sz w:val="21"/>
          <w:szCs w:val="21"/>
        </w:rPr>
        <w:t>元</w:t>
      </w:r>
    </w:p>
    <w:p>
      <w:pPr>
        <w:widowControl/>
        <w:spacing w:line="432" w:lineRule="exact"/>
        <w:ind w:firstLine="424" w:firstLineChars="202"/>
        <w:rPr>
          <w:rFonts w:ascii="宋体" w:hAnsi="宋体" w:cs="宋体" w:hint="default"/>
          <w:sz w:val="21"/>
          <w:szCs w:val="21"/>
        </w:rPr>
      </w:pPr>
      <w:r>
        <w:rPr>
          <w:rFonts w:ascii="宋体" w:hAnsi="宋体" w:cs="宋体"/>
          <w:sz w:val="21"/>
          <w:szCs w:val="21"/>
        </w:rPr>
        <w:t>4.最高限价：人民币</w:t>
      </w:r>
      <w:r>
        <w:rPr>
          <w:rFonts w:ascii="宋体" w:hAnsi="宋体" w:cs="宋体"/>
          <w:sz w:val="21"/>
          <w:szCs w:val="21"/>
          <w:u w:val="single"/>
        </w:rPr>
        <w:t xml:space="preserve"> 7596470.00</w:t>
      </w:r>
      <w:r>
        <w:rPr>
          <w:rFonts w:ascii="宋体" w:hAnsi="宋体" w:cs="宋体"/>
          <w:sz w:val="21"/>
          <w:szCs w:val="21"/>
        </w:rPr>
        <w:t>元</w:t>
      </w:r>
    </w:p>
    <w:p>
      <w:pPr>
        <w:widowControl/>
        <w:spacing w:line="432" w:lineRule="exact"/>
        <w:ind w:firstLine="424" w:firstLineChars="202"/>
        <w:rPr>
          <w:rFonts w:ascii="宋体" w:hAnsi="宋体" w:cs="宋体" w:hint="default"/>
          <w:sz w:val="21"/>
          <w:szCs w:val="21"/>
        </w:rPr>
      </w:pPr>
      <w:r>
        <w:rPr>
          <w:rFonts w:ascii="宋体" w:hAnsi="宋体" w:cs="宋体"/>
          <w:sz w:val="21"/>
          <w:szCs w:val="21"/>
        </w:rPr>
        <w:t>5.采购需求：</w:t>
      </w:r>
    </w:p>
    <w:p>
      <w:pPr>
        <w:widowControl/>
        <w:spacing w:line="432" w:lineRule="exact"/>
        <w:ind w:firstLine="424" w:firstLineChars="202"/>
        <w:rPr>
          <w:rFonts w:ascii="宋体" w:hAnsi="宋体" w:cs="宋体" w:hint="default"/>
          <w:sz w:val="21"/>
          <w:szCs w:val="21"/>
        </w:rPr>
      </w:pPr>
      <w:r>
        <w:rPr>
          <w:rFonts w:ascii="宋体" w:hAnsi="宋体" w:cs="宋体"/>
          <w:sz w:val="21"/>
          <w:szCs w:val="21"/>
        </w:rPr>
        <w:t>5.1招标范围</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74"/>
        <w:gridCol w:w="2448"/>
        <w:gridCol w:w="1190"/>
        <w:gridCol w:w="1191"/>
        <w:gridCol w:w="429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20"/>
        </w:trPr>
        <w:tc>
          <w:tcPr>
            <w:tcW w:w="674"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序号</w:t>
            </w:r>
          </w:p>
        </w:tc>
        <w:tc>
          <w:tcPr>
            <w:tcW w:w="2448"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采购项目名称</w:t>
            </w:r>
          </w:p>
        </w:tc>
        <w:tc>
          <w:tcPr>
            <w:tcW w:w="1190"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数量</w:t>
            </w:r>
          </w:p>
        </w:tc>
        <w:tc>
          <w:tcPr>
            <w:tcW w:w="1191"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单位</w:t>
            </w:r>
          </w:p>
        </w:tc>
        <w:tc>
          <w:tcPr>
            <w:tcW w:w="4295" w:type="dxa"/>
            <w:shd w:val="clear" w:color="auto" w:fill="auto"/>
            <w:vAlign w:val="center"/>
          </w:tcPr>
          <w:p>
            <w:pPr>
              <w:widowControl/>
              <w:spacing w:line="432" w:lineRule="exact"/>
              <w:jc w:val="center"/>
              <w:rPr>
                <w:rFonts w:ascii="宋体" w:hAnsi="宋体" w:cs="宋体" w:hint="default"/>
                <w:sz w:val="21"/>
                <w:szCs w:val="21"/>
              </w:rPr>
            </w:pPr>
            <w:r>
              <w:rPr>
                <w:rFonts w:ascii="宋体" w:hAnsi="宋体" w:cs="宋体"/>
                <w:sz w:val="21"/>
                <w:szCs w:val="21"/>
              </w:rPr>
              <w:t>简要技术需求或服务要求</w:t>
            </w:r>
          </w:p>
        </w:tc>
      </w:tr>
      <w:tr>
        <w:tblPrEx>
          <w:tblW w:w="0" w:type="auto"/>
          <w:tblInd w:w="0" w:type="dxa"/>
          <w:tblCellMar>
            <w:top w:w="0" w:type="dxa"/>
            <w:left w:w="108" w:type="dxa"/>
            <w:bottom w:w="0" w:type="dxa"/>
            <w:right w:w="108" w:type="dxa"/>
          </w:tblCellMar>
        </w:tblPrEx>
        <w:trPr>
          <w:trHeight w:val="90"/>
        </w:trPr>
        <w:tc>
          <w:tcPr>
            <w:tcW w:w="674"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1</w:t>
            </w:r>
          </w:p>
        </w:tc>
        <w:tc>
          <w:tcPr>
            <w:tcW w:w="2448"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 巡护服</w:t>
            </w:r>
          </w:p>
        </w:tc>
        <w:tc>
          <w:tcPr>
            <w:tcW w:w="1190" w:type="dxa"/>
            <w:vAlign w:val="center"/>
          </w:tcPr>
          <w:p>
            <w:pPr>
              <w:widowControl/>
              <w:tabs>
                <w:tab w:val="left" w:pos="403"/>
                <w:tab w:val="center" w:pos="599"/>
              </w:tabs>
              <w:spacing w:line="432" w:lineRule="exact"/>
              <w:rPr>
                <w:rFonts w:ascii="宋体" w:hAnsi="宋体" w:cs="宋体" w:hint="default"/>
                <w:sz w:val="21"/>
                <w:szCs w:val="21"/>
              </w:rPr>
            </w:pPr>
            <w:r>
              <w:rPr>
                <w:rFonts w:ascii="宋体" w:hAnsi="宋体" w:cs="宋体"/>
                <w:sz w:val="21"/>
                <w:szCs w:val="21"/>
              </w:rPr>
              <w:tab/>
            </w:r>
            <w:r>
              <w:rPr>
                <w:rFonts w:ascii="宋体" w:hAnsi="宋体" w:cs="宋体"/>
                <w:sz w:val="21"/>
                <w:szCs w:val="21"/>
              </w:rPr>
              <w:t>9065</w:t>
            </w:r>
            <w:r>
              <w:rPr>
                <w:rFonts w:ascii="宋体" w:hAnsi="宋体" w:cs="宋体"/>
                <w:sz w:val="21"/>
                <w:szCs w:val="21"/>
              </w:rPr>
              <w:tab/>
            </w:r>
            <w:r>
              <w:rPr>
                <w:rFonts w:ascii="宋体" w:hAnsi="宋体" w:cs="宋体"/>
                <w:sz w:val="21"/>
                <w:szCs w:val="21"/>
              </w:rPr>
              <w:t xml:space="preserve"> </w:t>
            </w:r>
          </w:p>
        </w:tc>
        <w:tc>
          <w:tcPr>
            <w:tcW w:w="1191"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 套</w:t>
            </w:r>
          </w:p>
        </w:tc>
        <w:tc>
          <w:tcPr>
            <w:tcW w:w="4295" w:type="dxa"/>
            <w:shd w:val="clear" w:color="auto" w:fill="auto"/>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详见第五章技术要求 </w:t>
            </w:r>
          </w:p>
        </w:tc>
      </w:tr>
      <w:tr>
        <w:tblPrEx>
          <w:tblW w:w="0" w:type="auto"/>
          <w:tblInd w:w="0" w:type="dxa"/>
          <w:tblCellMar>
            <w:top w:w="0" w:type="dxa"/>
            <w:left w:w="108" w:type="dxa"/>
            <w:bottom w:w="0" w:type="dxa"/>
            <w:right w:w="108" w:type="dxa"/>
          </w:tblCellMar>
        </w:tblPrEx>
        <w:trPr>
          <w:trHeight w:val="452"/>
        </w:trPr>
        <w:tc>
          <w:tcPr>
            <w:tcW w:w="674"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2</w:t>
            </w:r>
          </w:p>
        </w:tc>
        <w:tc>
          <w:tcPr>
            <w:tcW w:w="2448"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野外睡袋 </w:t>
            </w:r>
          </w:p>
        </w:tc>
        <w:tc>
          <w:tcPr>
            <w:tcW w:w="1190"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9065</w:t>
            </w:r>
          </w:p>
        </w:tc>
        <w:tc>
          <w:tcPr>
            <w:tcW w:w="1191"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个 </w:t>
            </w:r>
          </w:p>
        </w:tc>
        <w:tc>
          <w:tcPr>
            <w:tcW w:w="4295" w:type="dxa"/>
            <w:shd w:val="clear" w:color="auto" w:fill="auto"/>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详见第五章技术要求 </w:t>
            </w:r>
          </w:p>
        </w:tc>
      </w:tr>
      <w:tr>
        <w:tblPrEx>
          <w:tblW w:w="0" w:type="auto"/>
          <w:tblInd w:w="0" w:type="dxa"/>
          <w:tblCellMar>
            <w:top w:w="0" w:type="dxa"/>
            <w:left w:w="108" w:type="dxa"/>
            <w:bottom w:w="0" w:type="dxa"/>
            <w:right w:w="108" w:type="dxa"/>
          </w:tblCellMar>
        </w:tblPrEx>
        <w:trPr>
          <w:trHeight w:val="452"/>
        </w:trPr>
        <w:tc>
          <w:tcPr>
            <w:tcW w:w="674"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3</w:t>
            </w:r>
          </w:p>
        </w:tc>
        <w:tc>
          <w:tcPr>
            <w:tcW w:w="2448" w:type="dxa"/>
            <w:vAlign w:val="center"/>
          </w:tcPr>
          <w:p>
            <w:pPr>
              <w:widowControl/>
              <w:spacing w:line="432" w:lineRule="exact"/>
              <w:jc w:val="center"/>
              <w:rPr>
                <w:rFonts w:ascii="宋体" w:hAnsi="宋体" w:cs="宋体" w:hint="default"/>
                <w:color w:val="000000"/>
                <w:sz w:val="18"/>
                <w:szCs w:val="18"/>
              </w:rPr>
            </w:pPr>
            <w:r>
              <w:rPr>
                <w:rFonts w:ascii="宋体" w:hAnsi="宋体" w:cs="宋体"/>
                <w:color w:val="000000"/>
                <w:sz w:val="18"/>
                <w:szCs w:val="18"/>
              </w:rPr>
              <w:t xml:space="preserve"> 登山鞋</w:t>
            </w:r>
          </w:p>
        </w:tc>
        <w:tc>
          <w:tcPr>
            <w:tcW w:w="1190"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9065</w:t>
            </w:r>
          </w:p>
        </w:tc>
        <w:tc>
          <w:tcPr>
            <w:tcW w:w="1191"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 双</w:t>
            </w:r>
          </w:p>
        </w:tc>
        <w:tc>
          <w:tcPr>
            <w:tcW w:w="4295" w:type="dxa"/>
            <w:shd w:val="clear" w:color="auto" w:fill="auto"/>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详见第五章技术要求 </w:t>
            </w:r>
          </w:p>
        </w:tc>
      </w:tr>
      <w:tr>
        <w:tblPrEx>
          <w:tblW w:w="0" w:type="auto"/>
          <w:tblInd w:w="0" w:type="dxa"/>
          <w:tblCellMar>
            <w:top w:w="0" w:type="dxa"/>
            <w:left w:w="108" w:type="dxa"/>
            <w:bottom w:w="0" w:type="dxa"/>
            <w:right w:w="108" w:type="dxa"/>
          </w:tblCellMar>
        </w:tblPrEx>
        <w:trPr>
          <w:trHeight w:val="452"/>
        </w:trPr>
        <w:tc>
          <w:tcPr>
            <w:tcW w:w="674"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4</w:t>
            </w:r>
          </w:p>
        </w:tc>
        <w:tc>
          <w:tcPr>
            <w:tcW w:w="2448" w:type="dxa"/>
            <w:vAlign w:val="center"/>
          </w:tcPr>
          <w:p>
            <w:pPr>
              <w:widowControl/>
              <w:spacing w:line="432" w:lineRule="exact"/>
              <w:jc w:val="center"/>
              <w:rPr>
                <w:rFonts w:ascii="宋体" w:hAnsi="宋体" w:cs="宋体" w:hint="default"/>
                <w:color w:val="000000"/>
                <w:sz w:val="18"/>
                <w:szCs w:val="18"/>
              </w:rPr>
            </w:pPr>
            <w:r>
              <w:rPr>
                <w:rFonts w:ascii="宋体" w:hAnsi="宋体" w:cs="宋体"/>
                <w:color w:val="000000"/>
                <w:sz w:val="18"/>
                <w:szCs w:val="18"/>
              </w:rPr>
              <w:t>巡护登山包</w:t>
            </w:r>
          </w:p>
        </w:tc>
        <w:tc>
          <w:tcPr>
            <w:tcW w:w="1190"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9065</w:t>
            </w:r>
          </w:p>
        </w:tc>
        <w:tc>
          <w:tcPr>
            <w:tcW w:w="1191"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个</w:t>
            </w:r>
          </w:p>
        </w:tc>
        <w:tc>
          <w:tcPr>
            <w:tcW w:w="4295" w:type="dxa"/>
            <w:shd w:val="clear" w:color="auto" w:fill="auto"/>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详见第五章技术要求 </w:t>
            </w:r>
          </w:p>
        </w:tc>
      </w:tr>
      <w:tr>
        <w:tblPrEx>
          <w:tblW w:w="0" w:type="auto"/>
          <w:tblInd w:w="0" w:type="dxa"/>
          <w:tblCellMar>
            <w:top w:w="0" w:type="dxa"/>
            <w:left w:w="108" w:type="dxa"/>
            <w:bottom w:w="0" w:type="dxa"/>
            <w:right w:w="108" w:type="dxa"/>
          </w:tblCellMar>
        </w:tblPrEx>
        <w:trPr>
          <w:trHeight w:val="452"/>
        </w:trPr>
        <w:tc>
          <w:tcPr>
            <w:tcW w:w="674"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5</w:t>
            </w:r>
          </w:p>
        </w:tc>
        <w:tc>
          <w:tcPr>
            <w:tcW w:w="2448" w:type="dxa"/>
            <w:vAlign w:val="center"/>
          </w:tcPr>
          <w:p>
            <w:pPr>
              <w:widowControl/>
              <w:spacing w:line="432" w:lineRule="exact"/>
              <w:jc w:val="center"/>
              <w:rPr>
                <w:rFonts w:ascii="宋体" w:hAnsi="宋体" w:cs="宋体" w:hint="default"/>
                <w:color w:val="000000"/>
                <w:sz w:val="18"/>
                <w:szCs w:val="18"/>
              </w:rPr>
            </w:pPr>
            <w:r>
              <w:rPr>
                <w:rFonts w:ascii="宋体" w:hAnsi="宋体" w:cs="宋体"/>
                <w:color w:val="000000"/>
                <w:sz w:val="18"/>
                <w:szCs w:val="18"/>
              </w:rPr>
              <w:t>野外多功能水壶</w:t>
            </w:r>
          </w:p>
        </w:tc>
        <w:tc>
          <w:tcPr>
            <w:tcW w:w="1190"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9065</w:t>
            </w:r>
          </w:p>
        </w:tc>
        <w:tc>
          <w:tcPr>
            <w:tcW w:w="1191"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个</w:t>
            </w:r>
          </w:p>
        </w:tc>
        <w:tc>
          <w:tcPr>
            <w:tcW w:w="4295" w:type="dxa"/>
            <w:shd w:val="clear" w:color="auto" w:fill="auto"/>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详见第五章技术要求 </w:t>
            </w:r>
          </w:p>
        </w:tc>
      </w:tr>
      <w:tr>
        <w:tblPrEx>
          <w:tblW w:w="0" w:type="auto"/>
          <w:tblInd w:w="0" w:type="dxa"/>
          <w:tblCellMar>
            <w:top w:w="0" w:type="dxa"/>
            <w:left w:w="108" w:type="dxa"/>
            <w:bottom w:w="0" w:type="dxa"/>
            <w:right w:w="108" w:type="dxa"/>
          </w:tblCellMar>
        </w:tblPrEx>
        <w:trPr>
          <w:trHeight w:val="452"/>
        </w:trPr>
        <w:tc>
          <w:tcPr>
            <w:tcW w:w="674"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6</w:t>
            </w:r>
          </w:p>
        </w:tc>
        <w:tc>
          <w:tcPr>
            <w:tcW w:w="2448" w:type="dxa"/>
            <w:vAlign w:val="center"/>
          </w:tcPr>
          <w:p>
            <w:pPr>
              <w:widowControl/>
              <w:spacing w:line="432" w:lineRule="exact"/>
              <w:jc w:val="center"/>
              <w:rPr>
                <w:rFonts w:ascii="宋体" w:hAnsi="宋体" w:cs="宋体" w:hint="default"/>
                <w:color w:val="000000"/>
                <w:sz w:val="18"/>
                <w:szCs w:val="18"/>
              </w:rPr>
            </w:pPr>
            <w:r>
              <w:rPr>
                <w:rFonts w:ascii="宋体" w:hAnsi="宋体" w:cs="宋体"/>
                <w:color w:val="000000"/>
                <w:sz w:val="18"/>
                <w:szCs w:val="18"/>
              </w:rPr>
              <w:t>手电筒</w:t>
            </w:r>
          </w:p>
        </w:tc>
        <w:tc>
          <w:tcPr>
            <w:tcW w:w="1190"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9065</w:t>
            </w:r>
          </w:p>
        </w:tc>
        <w:tc>
          <w:tcPr>
            <w:tcW w:w="1191" w:type="dxa"/>
            <w:vAlign w:val="center"/>
          </w:tcPr>
          <w:p>
            <w:pPr>
              <w:widowControl/>
              <w:spacing w:line="432" w:lineRule="exact"/>
              <w:jc w:val="center"/>
              <w:rPr>
                <w:rFonts w:ascii="宋体" w:hAnsi="宋体" w:cs="宋体" w:hint="default"/>
                <w:sz w:val="21"/>
                <w:szCs w:val="21"/>
              </w:rPr>
            </w:pPr>
            <w:r>
              <w:rPr>
                <w:rFonts w:ascii="宋体" w:hAnsi="宋体" w:cs="宋体"/>
                <w:sz w:val="21"/>
                <w:szCs w:val="21"/>
              </w:rPr>
              <w:t>个</w:t>
            </w:r>
          </w:p>
        </w:tc>
        <w:tc>
          <w:tcPr>
            <w:tcW w:w="4295" w:type="dxa"/>
            <w:shd w:val="clear" w:color="auto" w:fill="auto"/>
            <w:vAlign w:val="center"/>
          </w:tcPr>
          <w:p>
            <w:pPr>
              <w:widowControl/>
              <w:spacing w:line="432" w:lineRule="exact"/>
              <w:jc w:val="center"/>
              <w:rPr>
                <w:rFonts w:ascii="宋体" w:hAnsi="宋体" w:cs="宋体" w:hint="default"/>
                <w:sz w:val="21"/>
                <w:szCs w:val="21"/>
              </w:rPr>
            </w:pPr>
            <w:r>
              <w:rPr>
                <w:rFonts w:ascii="宋体" w:hAnsi="宋体" w:cs="宋体"/>
                <w:sz w:val="21"/>
                <w:szCs w:val="21"/>
              </w:rPr>
              <w:t xml:space="preserve">详见第五章技术要求 </w:t>
            </w:r>
          </w:p>
        </w:tc>
      </w:tr>
    </w:tbl>
    <w:p>
      <w:pPr>
        <w:widowControl/>
        <w:spacing w:line="432" w:lineRule="exact"/>
        <w:ind w:firstLine="424" w:firstLineChars="202"/>
        <w:rPr>
          <w:rFonts w:ascii="宋体" w:hAnsi="宋体" w:cs="宋体" w:hint="default"/>
          <w:sz w:val="21"/>
          <w:szCs w:val="21"/>
        </w:rPr>
      </w:pPr>
    </w:p>
    <w:p>
      <w:pPr>
        <w:widowControl/>
        <w:spacing w:line="432" w:lineRule="exact"/>
        <w:ind w:firstLine="424" w:firstLineChars="202"/>
        <w:rPr>
          <w:rFonts w:ascii="宋体" w:hAnsi="宋体" w:cs="宋体" w:hint="default"/>
          <w:sz w:val="21"/>
          <w:szCs w:val="21"/>
        </w:rPr>
      </w:pPr>
      <w:r>
        <w:rPr>
          <w:rFonts w:ascii="宋体" w:hAnsi="宋体" w:cs="宋体"/>
          <w:sz w:val="21"/>
          <w:szCs w:val="21"/>
        </w:rPr>
        <w:t>5.2标段划分：本项目共划分为一个标段，拟参与投标的投标人必须整体报价不得拆分。具体内容详见招标文件。</w:t>
      </w:r>
    </w:p>
    <w:p>
      <w:pPr>
        <w:widowControl/>
        <w:spacing w:line="432" w:lineRule="exact"/>
        <w:ind w:firstLine="424" w:firstLineChars="202"/>
        <w:rPr>
          <w:rFonts w:ascii="宋体" w:hAnsi="宋体" w:cs="宋体" w:hint="default"/>
          <w:sz w:val="21"/>
          <w:szCs w:val="21"/>
        </w:rPr>
      </w:pPr>
      <w:r>
        <w:rPr>
          <w:rFonts w:ascii="宋体" w:hAnsi="宋体" w:cs="宋体"/>
          <w:sz w:val="21"/>
          <w:szCs w:val="21"/>
        </w:rPr>
        <w:t>5.3交货地点：业主指定地点。</w:t>
      </w:r>
    </w:p>
    <w:p>
      <w:pPr>
        <w:widowControl/>
        <w:spacing w:line="432" w:lineRule="exact"/>
        <w:ind w:firstLine="424" w:firstLineChars="202"/>
        <w:rPr>
          <w:rFonts w:ascii="宋体" w:hAnsi="宋体" w:cs="宋体" w:hint="default"/>
          <w:sz w:val="21"/>
          <w:szCs w:val="21"/>
        </w:rPr>
      </w:pPr>
      <w:r>
        <w:rPr>
          <w:rFonts w:ascii="宋体" w:hAnsi="宋体" w:cs="宋体"/>
          <w:sz w:val="21"/>
          <w:szCs w:val="21"/>
        </w:rPr>
        <w:t>5.4质量要求：必须符合国家及地方行业主管部门的规定并一次性验收合格；</w:t>
      </w:r>
    </w:p>
    <w:p>
      <w:pPr>
        <w:widowControl/>
        <w:spacing w:line="432" w:lineRule="exact"/>
        <w:ind w:firstLine="424" w:firstLineChars="202"/>
        <w:rPr>
          <w:rFonts w:ascii="宋体" w:hAnsi="宋体" w:cs="宋体" w:hint="default"/>
          <w:sz w:val="21"/>
          <w:szCs w:val="21"/>
        </w:rPr>
      </w:pPr>
      <w:r>
        <w:rPr>
          <w:rFonts w:ascii="宋体" w:hAnsi="宋体" w:cs="宋体"/>
          <w:sz w:val="21"/>
          <w:szCs w:val="21"/>
        </w:rPr>
        <w:t>6.合同履行期限（供货期）：</w:t>
      </w:r>
      <w:r>
        <w:rPr>
          <w:rFonts w:hAnsi="宋体" w:cs="宋体"/>
          <w:sz w:val="21"/>
          <w:highlight w:val="none"/>
        </w:rPr>
        <w:t>自合同签定之日起25日历天内完成交货</w:t>
      </w:r>
      <w:r>
        <w:rPr>
          <w:rFonts w:hAnsi="宋体" w:cs="宋体"/>
          <w:sz w:val="21"/>
        </w:rPr>
        <w:t>。</w:t>
      </w:r>
    </w:p>
    <w:p>
      <w:pPr>
        <w:widowControl/>
        <w:spacing w:line="432" w:lineRule="exact"/>
        <w:ind w:firstLine="424" w:firstLineChars="202"/>
        <w:rPr>
          <w:rFonts w:ascii="宋体" w:hAnsi="宋体" w:cs="宋体" w:hint="default"/>
          <w:sz w:val="21"/>
          <w:szCs w:val="21"/>
        </w:rPr>
      </w:pPr>
      <w:r>
        <w:rPr>
          <w:rFonts w:ascii="宋体" w:hAnsi="宋体" w:cs="宋体"/>
          <w:sz w:val="21"/>
          <w:szCs w:val="21"/>
        </w:rPr>
        <w:t>7.本项目不接受联合体投标。</w:t>
      </w:r>
    </w:p>
    <w:p>
      <w:pPr>
        <w:widowControl/>
        <w:spacing w:line="480" w:lineRule="exact"/>
        <w:ind w:firstLine="424" w:firstLineChars="202"/>
        <w:rPr>
          <w:rFonts w:ascii="宋体" w:hAnsi="宋体" w:cs="宋体" w:hint="default"/>
          <w:b/>
          <w:sz w:val="21"/>
          <w:szCs w:val="21"/>
        </w:rPr>
      </w:pPr>
      <w:r>
        <w:rPr>
          <w:rFonts w:ascii="宋体" w:hAnsi="宋体" w:cs="宋体"/>
          <w:b/>
          <w:sz w:val="21"/>
          <w:szCs w:val="21"/>
        </w:rPr>
        <w:t>二、投标人资格要求：</w:t>
      </w:r>
    </w:p>
    <w:p>
      <w:pPr>
        <w:pStyle w:val="BodyText"/>
        <w:rPr>
          <w:rFonts w:hint="default"/>
          <w:sz w:val="21"/>
          <w:szCs w:val="21"/>
          <w:shd w:val="clear" w:color="auto" w:fill="FFFFFF"/>
        </w:rPr>
      </w:pPr>
      <w:r>
        <w:rPr>
          <w:sz w:val="21"/>
          <w:szCs w:val="21"/>
          <w:shd w:val="clear" w:color="auto" w:fill="FFFFFF"/>
        </w:rPr>
        <w:t>1、供应商应具备《中华人民共和国政府采购法》第二十二条规定的基本条件，并按《中华人民共和国政府采购法实施条例》第十七条的规定提供下列证明材料备查：</w:t>
      </w:r>
    </w:p>
    <w:p>
      <w:pPr>
        <w:pStyle w:val="BodyText"/>
        <w:rPr>
          <w:rFonts w:hint="default"/>
          <w:sz w:val="21"/>
          <w:szCs w:val="21"/>
          <w:shd w:val="clear" w:color="auto" w:fill="FFFFFF"/>
        </w:rPr>
      </w:pPr>
      <w:r>
        <w:rPr>
          <w:sz w:val="21"/>
          <w:szCs w:val="21"/>
          <w:shd w:val="clear" w:color="auto" w:fill="FFFFFF"/>
        </w:rPr>
        <w:t>（1）具有独立承担民事责任的能力；</w:t>
      </w:r>
    </w:p>
    <w:p>
      <w:pPr>
        <w:pStyle w:val="BodyText"/>
        <w:rPr>
          <w:rFonts w:hint="default"/>
          <w:sz w:val="21"/>
          <w:szCs w:val="21"/>
          <w:shd w:val="clear" w:color="auto" w:fill="FFFFFF"/>
        </w:rPr>
      </w:pPr>
      <w:r>
        <w:rPr>
          <w:sz w:val="21"/>
          <w:szCs w:val="21"/>
          <w:shd w:val="clear" w:color="auto" w:fill="FFFFFF"/>
        </w:rPr>
        <w:t>（2）财务状况报告，依法缴纳税收和社会保障资金的相关材料；</w:t>
      </w:r>
    </w:p>
    <w:p>
      <w:pPr>
        <w:pStyle w:val="BodyText"/>
        <w:rPr>
          <w:rFonts w:hint="default"/>
          <w:sz w:val="21"/>
          <w:szCs w:val="21"/>
          <w:shd w:val="clear" w:color="auto" w:fill="FFFFFF"/>
        </w:rPr>
      </w:pPr>
      <w:r>
        <w:rPr>
          <w:sz w:val="21"/>
          <w:szCs w:val="21"/>
          <w:shd w:val="clear" w:color="auto" w:fill="FFFFFF"/>
        </w:rPr>
        <w:t>（3）具备履行合同所必需的专业衣物和专业技术能力和生产制造场地的证明材料；</w:t>
      </w:r>
    </w:p>
    <w:p>
      <w:pPr>
        <w:pStyle w:val="BodyText"/>
        <w:rPr>
          <w:rFonts w:hint="default"/>
          <w:sz w:val="21"/>
          <w:szCs w:val="21"/>
          <w:shd w:val="clear" w:color="auto" w:fill="FFFFFF"/>
        </w:rPr>
      </w:pPr>
      <w:r>
        <w:rPr>
          <w:sz w:val="21"/>
          <w:szCs w:val="21"/>
          <w:shd w:val="clear" w:color="auto" w:fill="FFFFFF"/>
        </w:rPr>
        <w:t>（4）参加政府采购活动前3年内，在经营活动中没有重大违法记录的书面声明；</w:t>
      </w:r>
    </w:p>
    <w:p>
      <w:pPr>
        <w:pStyle w:val="BodyText"/>
        <w:rPr>
          <w:rFonts w:hint="default"/>
          <w:sz w:val="21"/>
          <w:szCs w:val="21"/>
          <w:shd w:val="clear" w:color="auto" w:fill="FFFFFF"/>
        </w:rPr>
      </w:pPr>
      <w:r>
        <w:rPr>
          <w:sz w:val="21"/>
          <w:szCs w:val="21"/>
          <w:shd w:val="clear" w:color="auto" w:fill="FFFFFF"/>
        </w:rPr>
        <w:t xml:space="preserve">（5）按照《政府采购货物和服务招标投标管理办法》(财政部令第87号)、《财政部关于在政府采购活动中查询及使用信用记录有关问题的通知》(财库[2016]125号)相关要求，投标人应在“信用中国”网站(www.creditchina.gov.cn)未被列入失信被执行人记录、重大税收违法案件当事人名单且在中国政府采购网(www.ccgp.gov.cn)没有政府采购严重违法失信行为记录(被禁止在一定期限内参加政府采购活动但期限届满的除外)，参与本项目的投标人信用查询截止时点： 本项目招标公告发布之日起至投标截止时间，提供查询结果网页截图。 </w:t>
      </w:r>
    </w:p>
    <w:p>
      <w:pPr>
        <w:pStyle w:val="BodyText"/>
        <w:rPr>
          <w:rFonts w:hint="default"/>
          <w:sz w:val="21"/>
          <w:szCs w:val="21"/>
          <w:shd w:val="clear" w:color="auto" w:fill="FFFFFF"/>
        </w:rPr>
      </w:pPr>
      <w:r>
        <w:rPr>
          <w:sz w:val="21"/>
          <w:szCs w:val="21"/>
          <w:shd w:val="clear" w:color="auto" w:fill="FFFFFF"/>
        </w:rPr>
        <w:t xml:space="preserve">（6）投标人近三年无行贿犯罪记录，以“中国裁判文书网”查询结果为准。      </w:t>
      </w:r>
    </w:p>
    <w:p>
      <w:pPr>
        <w:pStyle w:val="BodyText"/>
        <w:rPr>
          <w:rFonts w:hint="default"/>
          <w:sz w:val="21"/>
          <w:szCs w:val="21"/>
          <w:shd w:val="clear" w:color="auto" w:fill="FFFFFF"/>
        </w:rPr>
      </w:pPr>
      <w:r>
        <w:rPr>
          <w:sz w:val="21"/>
          <w:szCs w:val="21"/>
          <w:shd w:val="clear" w:color="auto" w:fill="FFFFFF"/>
        </w:rPr>
        <w:t>2、本项目不接受联合体投标，投标人不得超出经营范围进行投标。</w:t>
      </w:r>
    </w:p>
    <w:p>
      <w:pPr>
        <w:pStyle w:val="BodyText"/>
        <w:rPr>
          <w:rFonts w:hint="default"/>
          <w:sz w:val="21"/>
          <w:szCs w:val="21"/>
          <w:shd w:val="clear" w:color="auto" w:fill="FFFFFF"/>
        </w:rPr>
      </w:pPr>
      <w:r>
        <w:rPr>
          <w:sz w:val="21"/>
          <w:szCs w:val="21"/>
          <w:shd w:val="clear" w:color="auto" w:fill="FFFFFF"/>
        </w:rPr>
        <w:t>3、本项目其他要求：</w:t>
      </w:r>
    </w:p>
    <w:p>
      <w:pPr>
        <w:pStyle w:val="BodyText"/>
        <w:rPr>
          <w:rFonts w:hint="default"/>
          <w:sz w:val="21"/>
          <w:szCs w:val="21"/>
          <w:highlight w:val="none"/>
          <w:shd w:val="clear" w:color="auto" w:fill="FFFFFF"/>
        </w:rPr>
      </w:pPr>
      <w:r>
        <w:rPr>
          <w:sz w:val="21"/>
          <w:szCs w:val="21"/>
          <w:highlight w:val="none"/>
          <w:shd w:val="clear" w:color="auto" w:fill="FFFFFF"/>
        </w:rPr>
        <w:t>3.1投标人需提供本单位送往第三方检测的检测依据。</w:t>
      </w:r>
    </w:p>
    <w:p>
      <w:pPr>
        <w:widowControl/>
        <w:spacing w:line="480" w:lineRule="exact"/>
        <w:ind w:firstLine="424" w:firstLineChars="202"/>
        <w:rPr>
          <w:rFonts w:ascii="宋体" w:hAnsi="宋体" w:cs="宋体" w:hint="default"/>
          <w:b/>
          <w:sz w:val="21"/>
          <w:szCs w:val="21"/>
        </w:rPr>
      </w:pPr>
      <w:r>
        <w:rPr>
          <w:rFonts w:ascii="宋体" w:hAnsi="宋体" w:cs="宋体"/>
          <w:b/>
          <w:sz w:val="21"/>
          <w:szCs w:val="21"/>
        </w:rPr>
        <w:t>三、获取招标文件：</w:t>
      </w:r>
    </w:p>
    <w:p>
      <w:pPr>
        <w:widowControl/>
        <w:spacing w:line="480" w:lineRule="exact"/>
        <w:ind w:firstLine="424" w:firstLineChars="202"/>
        <w:rPr>
          <w:rFonts w:ascii="宋体" w:hAnsi="宋体" w:cs="宋体" w:hint="default"/>
          <w:sz w:val="21"/>
          <w:szCs w:val="21"/>
        </w:rPr>
      </w:pPr>
      <w:r>
        <w:rPr>
          <w:rFonts w:ascii="宋体" w:hAnsi="宋体" w:cs="宋体"/>
          <w:sz w:val="21"/>
          <w:szCs w:val="21"/>
        </w:rPr>
        <w:t>1.时间：</w:t>
      </w:r>
      <w:r>
        <w:rPr>
          <w:rFonts w:ascii="宋体" w:hAnsi="宋体" w:cs="宋体"/>
          <w:sz w:val="21"/>
          <w:szCs w:val="21"/>
          <w:u w:val="single"/>
        </w:rPr>
        <w:t xml:space="preserve"> </w:t>
      </w:r>
      <w:r>
        <w:rPr>
          <w:rFonts w:ascii="宋体" w:hAnsi="宋体" w:cs="宋体" w:hint="eastAsia"/>
          <w:color w:val="auto"/>
          <w:sz w:val="21"/>
          <w:szCs w:val="21"/>
          <w:u w:val="single"/>
          <w:lang w:val="en-US" w:eastAsia="zh-CN"/>
        </w:rPr>
        <w:t xml:space="preserve">2021 </w:t>
      </w:r>
      <w:r>
        <w:rPr>
          <w:rFonts w:ascii="宋体" w:hAnsi="宋体" w:cs="宋体"/>
          <w:color w:val="auto"/>
          <w:sz w:val="21"/>
          <w:szCs w:val="21"/>
          <w:u w:val="single"/>
        </w:rPr>
        <w:t>年</w:t>
      </w:r>
      <w:r>
        <w:rPr>
          <w:rFonts w:ascii="宋体" w:hAnsi="宋体" w:cs="宋体" w:hint="eastAsia"/>
          <w:color w:val="auto"/>
          <w:sz w:val="21"/>
          <w:szCs w:val="21"/>
          <w:u w:val="single"/>
          <w:lang w:val="en-US" w:eastAsia="zh-CN"/>
        </w:rPr>
        <w:t xml:space="preserve"> 3</w:t>
      </w:r>
      <w:r>
        <w:rPr>
          <w:rFonts w:ascii="宋体" w:hAnsi="宋体" w:cs="宋体"/>
          <w:color w:val="auto"/>
          <w:sz w:val="21"/>
          <w:szCs w:val="21"/>
          <w:u w:val="single"/>
        </w:rPr>
        <w:t>月</w:t>
      </w:r>
      <w:r>
        <w:rPr>
          <w:rFonts w:ascii="宋体" w:hAnsi="宋体" w:cs="宋体" w:hint="eastAsia"/>
          <w:color w:val="auto"/>
          <w:sz w:val="21"/>
          <w:szCs w:val="21"/>
          <w:u w:val="single"/>
          <w:lang w:val="en-US" w:eastAsia="zh-CN"/>
        </w:rPr>
        <w:t>16</w:t>
      </w:r>
      <w:r>
        <w:rPr>
          <w:rFonts w:ascii="宋体" w:hAnsi="宋体" w:cs="宋体"/>
          <w:color w:val="auto"/>
          <w:sz w:val="21"/>
          <w:szCs w:val="21"/>
          <w:u w:val="single"/>
        </w:rPr>
        <w:t>日至</w:t>
      </w:r>
      <w:r>
        <w:rPr>
          <w:rFonts w:ascii="宋体" w:hAnsi="宋体" w:cs="宋体" w:hint="eastAsia"/>
          <w:color w:val="auto"/>
          <w:sz w:val="21"/>
          <w:szCs w:val="21"/>
          <w:u w:val="single"/>
          <w:lang w:val="en-US" w:eastAsia="zh-CN"/>
        </w:rPr>
        <w:t>2021</w:t>
      </w:r>
      <w:r>
        <w:rPr>
          <w:rFonts w:ascii="宋体" w:hAnsi="宋体" w:cs="宋体"/>
          <w:color w:val="auto"/>
          <w:sz w:val="21"/>
          <w:szCs w:val="21"/>
          <w:u w:val="single"/>
        </w:rPr>
        <w:t>年</w:t>
      </w:r>
      <w:r>
        <w:rPr>
          <w:rFonts w:ascii="宋体" w:hAnsi="宋体" w:cs="宋体" w:hint="eastAsia"/>
          <w:color w:val="auto"/>
          <w:sz w:val="21"/>
          <w:szCs w:val="21"/>
          <w:u w:val="single"/>
          <w:lang w:val="en-US" w:eastAsia="zh-CN"/>
        </w:rPr>
        <w:t>3</w:t>
      </w:r>
      <w:r>
        <w:rPr>
          <w:rFonts w:ascii="宋体" w:hAnsi="宋体" w:cs="宋体"/>
          <w:color w:val="auto"/>
          <w:sz w:val="21"/>
          <w:szCs w:val="21"/>
          <w:u w:val="single"/>
        </w:rPr>
        <w:t>月</w:t>
      </w:r>
      <w:r>
        <w:rPr>
          <w:rFonts w:ascii="宋体" w:hAnsi="宋体" w:cs="宋体" w:hint="eastAsia"/>
          <w:color w:val="auto"/>
          <w:sz w:val="21"/>
          <w:szCs w:val="21"/>
          <w:u w:val="single"/>
          <w:lang w:val="en-US" w:eastAsia="zh-CN"/>
        </w:rPr>
        <w:t xml:space="preserve">23 </w:t>
      </w:r>
      <w:r>
        <w:rPr>
          <w:rFonts w:ascii="宋体" w:hAnsi="宋体" w:cs="宋体"/>
          <w:color w:val="auto"/>
          <w:sz w:val="21"/>
          <w:szCs w:val="21"/>
          <w:u w:val="single"/>
        </w:rPr>
        <w:t>日</w:t>
      </w:r>
      <w:r>
        <w:rPr>
          <w:rFonts w:ascii="宋体" w:hAnsi="宋体" w:cs="宋体"/>
          <w:sz w:val="21"/>
          <w:szCs w:val="21"/>
        </w:rPr>
        <w:t>（五个工作日）（北京时间，法定节假日除外 ）。</w:t>
      </w:r>
    </w:p>
    <w:p>
      <w:pPr>
        <w:widowControl/>
        <w:spacing w:line="480" w:lineRule="exact"/>
        <w:ind w:firstLine="424" w:firstLineChars="202"/>
        <w:rPr>
          <w:rFonts w:ascii="宋体" w:hAnsi="宋体" w:cs="宋体" w:hint="default"/>
          <w:sz w:val="21"/>
          <w:szCs w:val="21"/>
        </w:rPr>
      </w:pPr>
      <w:r>
        <w:rPr>
          <w:rFonts w:ascii="宋体" w:hAnsi="宋体" w:cs="宋体"/>
          <w:sz w:val="21"/>
          <w:szCs w:val="21"/>
        </w:rPr>
        <w:t>2.地点：怒江州公共资源交易电子服务系统（地址：http://182.246.203.127:8001/）自行下载招标文件。</w:t>
      </w:r>
    </w:p>
    <w:p>
      <w:pPr>
        <w:widowControl/>
        <w:spacing w:line="480" w:lineRule="exact"/>
        <w:ind w:firstLine="424" w:firstLineChars="202"/>
        <w:rPr>
          <w:rFonts w:ascii="宋体" w:hAnsi="宋体" w:cs="宋体" w:hint="default"/>
          <w:sz w:val="21"/>
          <w:szCs w:val="21"/>
        </w:rPr>
      </w:pPr>
      <w:r>
        <w:rPr>
          <w:rFonts w:ascii="宋体" w:hAnsi="宋体" w:cs="宋体"/>
          <w:sz w:val="21"/>
          <w:szCs w:val="21"/>
        </w:rPr>
        <w:t>3.方式：由于本次采购项目采用全流程电子化交易方式进行，投标人需要网上报名后自行下载招标文件。</w:t>
      </w:r>
    </w:p>
    <w:p>
      <w:pPr>
        <w:widowControl/>
        <w:spacing w:line="480" w:lineRule="exact"/>
        <w:ind w:firstLine="424" w:firstLineChars="202"/>
        <w:rPr>
          <w:rFonts w:ascii="宋体" w:hAnsi="宋体" w:cs="宋体" w:hint="default"/>
          <w:sz w:val="21"/>
          <w:szCs w:val="21"/>
        </w:rPr>
      </w:pPr>
      <w:r>
        <w:rPr>
          <w:rFonts w:ascii="宋体" w:hAnsi="宋体" w:cs="宋体"/>
          <w:sz w:val="21"/>
          <w:szCs w:val="21"/>
        </w:rPr>
        <w:t>4.售价：0.00元。</w:t>
      </w:r>
    </w:p>
    <w:p>
      <w:pPr>
        <w:widowControl/>
        <w:spacing w:line="480" w:lineRule="exact"/>
        <w:ind w:firstLine="424" w:firstLineChars="202"/>
        <w:rPr>
          <w:rFonts w:ascii="宋体" w:hAnsi="宋体" w:cs="宋体" w:hint="default"/>
          <w:b/>
          <w:sz w:val="21"/>
          <w:szCs w:val="21"/>
        </w:rPr>
      </w:pPr>
      <w:r>
        <w:rPr>
          <w:rFonts w:ascii="宋体" w:hAnsi="宋体" w:cs="宋体"/>
          <w:b/>
          <w:sz w:val="21"/>
          <w:szCs w:val="21"/>
        </w:rPr>
        <w:t>四、提交投标文件截止时间、开标时间和地点：</w:t>
      </w:r>
    </w:p>
    <w:p>
      <w:pPr>
        <w:widowControl/>
        <w:spacing w:line="480" w:lineRule="exact"/>
        <w:ind w:firstLine="424" w:firstLineChars="202"/>
        <w:rPr>
          <w:rFonts w:ascii="宋体" w:hAnsi="宋体" w:cs="宋体" w:hint="default"/>
          <w:sz w:val="21"/>
          <w:szCs w:val="21"/>
        </w:rPr>
      </w:pPr>
      <w:r>
        <w:rPr>
          <w:rFonts w:ascii="宋体" w:hAnsi="宋体" w:cs="宋体"/>
          <w:sz w:val="21"/>
          <w:szCs w:val="21"/>
        </w:rPr>
        <w:t>1.</w:t>
      </w:r>
      <w:r>
        <w:rPr>
          <w:rFonts w:ascii="宋体" w:hAnsi="宋体"/>
          <w:sz w:val="21"/>
          <w:szCs w:val="21"/>
        </w:rPr>
        <w:t xml:space="preserve"> </w:t>
      </w:r>
      <w:r>
        <w:rPr>
          <w:rFonts w:ascii="宋体" w:hAnsi="宋体" w:cs="宋体"/>
          <w:sz w:val="21"/>
          <w:szCs w:val="21"/>
        </w:rPr>
        <w:t>提交投标文件截止时间：</w:t>
      </w:r>
      <w:r>
        <w:rPr>
          <w:rFonts w:ascii="宋体" w:hAnsi="宋体" w:hint="eastAsia"/>
          <w:color w:val="auto"/>
          <w:sz w:val="21"/>
          <w:szCs w:val="21"/>
          <w:u w:val="single"/>
          <w:lang w:val="en-US" w:eastAsia="zh-CN"/>
        </w:rPr>
        <w:t>2021</w:t>
      </w:r>
      <w:r>
        <w:rPr>
          <w:rFonts w:ascii="宋体" w:hAnsi="宋体"/>
          <w:color w:val="auto"/>
          <w:sz w:val="21"/>
          <w:szCs w:val="21"/>
          <w:u w:val="single"/>
        </w:rPr>
        <w:t>年</w:t>
      </w:r>
      <w:r>
        <w:rPr>
          <w:rFonts w:ascii="宋体" w:hAnsi="宋体" w:hint="eastAsia"/>
          <w:color w:val="auto"/>
          <w:sz w:val="21"/>
          <w:szCs w:val="21"/>
          <w:u w:val="single"/>
          <w:lang w:val="en-US" w:eastAsia="zh-CN"/>
        </w:rPr>
        <w:t xml:space="preserve"> 4</w:t>
      </w:r>
      <w:r>
        <w:rPr>
          <w:rFonts w:ascii="宋体" w:hAnsi="宋体"/>
          <w:color w:val="auto"/>
          <w:sz w:val="21"/>
          <w:szCs w:val="21"/>
          <w:u w:val="single"/>
        </w:rPr>
        <w:t>月</w:t>
      </w:r>
      <w:r>
        <w:rPr>
          <w:rFonts w:ascii="宋体" w:hAnsi="宋体" w:hint="eastAsia"/>
          <w:color w:val="auto"/>
          <w:sz w:val="21"/>
          <w:szCs w:val="21"/>
          <w:u w:val="single"/>
          <w:lang w:val="en-US" w:eastAsia="zh-CN"/>
        </w:rPr>
        <w:t>13</w:t>
      </w:r>
      <w:r>
        <w:rPr>
          <w:rFonts w:ascii="宋体" w:hAnsi="宋体"/>
          <w:color w:val="auto"/>
          <w:sz w:val="21"/>
          <w:szCs w:val="21"/>
          <w:u w:val="single"/>
        </w:rPr>
        <w:t>日</w:t>
      </w:r>
      <w:r>
        <w:rPr>
          <w:rFonts w:ascii="宋体" w:hAnsi="宋体" w:hint="eastAsia"/>
          <w:color w:val="auto"/>
          <w:sz w:val="21"/>
          <w:szCs w:val="21"/>
          <w:u w:val="single"/>
          <w:lang w:val="en-US" w:eastAsia="zh-CN"/>
        </w:rPr>
        <w:t xml:space="preserve">09 </w:t>
      </w:r>
      <w:r>
        <w:rPr>
          <w:rFonts w:ascii="宋体" w:hAnsi="宋体"/>
          <w:color w:val="auto"/>
          <w:sz w:val="21"/>
          <w:szCs w:val="21"/>
          <w:u w:val="single"/>
        </w:rPr>
        <w:t>时</w:t>
      </w:r>
      <w:r>
        <w:rPr>
          <w:rFonts w:ascii="宋体" w:hAnsi="宋体" w:hint="eastAsia"/>
          <w:color w:val="auto"/>
          <w:sz w:val="21"/>
          <w:szCs w:val="21"/>
          <w:u w:val="single"/>
          <w:lang w:val="en-US" w:eastAsia="zh-CN"/>
        </w:rPr>
        <w:t>00</w:t>
      </w:r>
      <w:r>
        <w:rPr>
          <w:rFonts w:ascii="宋体" w:hAnsi="宋体"/>
          <w:color w:val="auto"/>
          <w:sz w:val="21"/>
          <w:szCs w:val="21"/>
          <w:u w:val="single"/>
        </w:rPr>
        <w:t>分</w:t>
      </w:r>
      <w:r>
        <w:rPr>
          <w:rFonts w:ascii="宋体" w:hAnsi="宋体" w:cs="宋体"/>
          <w:sz w:val="21"/>
          <w:szCs w:val="21"/>
        </w:rPr>
        <w:t>（北京时间）。</w:t>
      </w:r>
    </w:p>
    <w:p>
      <w:pPr>
        <w:widowControl/>
        <w:spacing w:line="480" w:lineRule="exact"/>
        <w:ind w:firstLine="424" w:firstLineChars="202"/>
        <w:rPr>
          <w:rFonts w:ascii="宋体" w:hAnsi="宋体" w:cs="宋体" w:hint="default"/>
          <w:sz w:val="21"/>
          <w:szCs w:val="21"/>
        </w:rPr>
      </w:pPr>
      <w:r>
        <w:rPr>
          <w:rFonts w:ascii="宋体" w:hAnsi="宋体" w:cs="宋体"/>
          <w:sz w:val="21"/>
          <w:szCs w:val="21"/>
        </w:rPr>
        <w:t>2.地点：福贡县公共资源交易中心开标厅。</w:t>
      </w:r>
    </w:p>
    <w:p>
      <w:pPr>
        <w:widowControl/>
        <w:spacing w:line="480" w:lineRule="exact"/>
        <w:ind w:firstLine="424" w:firstLineChars="202"/>
        <w:rPr>
          <w:rFonts w:ascii="宋体" w:hAnsi="宋体" w:cs="宋体" w:hint="default"/>
          <w:b/>
          <w:sz w:val="21"/>
          <w:szCs w:val="21"/>
        </w:rPr>
      </w:pPr>
      <w:r>
        <w:rPr>
          <w:rFonts w:ascii="宋体" w:hAnsi="宋体" w:cs="宋体"/>
          <w:b/>
          <w:sz w:val="21"/>
          <w:szCs w:val="21"/>
        </w:rPr>
        <w:t>五、公告期限：</w:t>
      </w:r>
    </w:p>
    <w:p>
      <w:pPr>
        <w:widowControl/>
        <w:spacing w:line="480" w:lineRule="exact"/>
        <w:ind w:firstLine="424" w:firstLineChars="202"/>
        <w:rPr>
          <w:rFonts w:ascii="宋体" w:hAnsi="宋体" w:cs="宋体" w:hint="default"/>
          <w:sz w:val="21"/>
          <w:szCs w:val="21"/>
        </w:rPr>
      </w:pPr>
      <w:r>
        <w:rPr>
          <w:rFonts w:ascii="宋体" w:hAnsi="宋体" w:cs="宋体"/>
          <w:sz w:val="21"/>
          <w:szCs w:val="21"/>
        </w:rPr>
        <w:t>自本公告发布之日起5个工作日</w:t>
      </w:r>
      <w:r>
        <w:rPr>
          <w:rFonts w:ascii="宋体" w:hAnsi="宋体" w:cs="宋体" w:hint="eastAsia"/>
          <w:sz w:val="21"/>
          <w:szCs w:val="21"/>
          <w:lang w:eastAsia="zh-CN"/>
        </w:rPr>
        <w:t>（</w:t>
      </w:r>
      <w:r>
        <w:rPr>
          <w:rFonts w:ascii="宋体" w:hAnsi="宋体" w:cs="宋体"/>
          <w:sz w:val="21"/>
          <w:szCs w:val="21"/>
          <w:u w:val="single"/>
        </w:rPr>
        <w:t xml:space="preserve"> </w:t>
      </w:r>
      <w:r>
        <w:rPr>
          <w:rFonts w:ascii="宋体" w:hAnsi="宋体" w:cs="宋体" w:hint="eastAsia"/>
          <w:color w:val="auto"/>
          <w:sz w:val="21"/>
          <w:szCs w:val="21"/>
          <w:u w:val="single"/>
          <w:lang w:val="en-US" w:eastAsia="zh-CN"/>
        </w:rPr>
        <w:t xml:space="preserve">2021 </w:t>
      </w:r>
      <w:r>
        <w:rPr>
          <w:rFonts w:ascii="宋体" w:hAnsi="宋体" w:cs="宋体"/>
          <w:color w:val="auto"/>
          <w:sz w:val="21"/>
          <w:szCs w:val="21"/>
          <w:u w:val="single"/>
        </w:rPr>
        <w:t>年</w:t>
      </w:r>
      <w:r>
        <w:rPr>
          <w:rFonts w:ascii="宋体" w:hAnsi="宋体" w:cs="宋体" w:hint="eastAsia"/>
          <w:color w:val="auto"/>
          <w:sz w:val="21"/>
          <w:szCs w:val="21"/>
          <w:u w:val="single"/>
          <w:lang w:val="en-US" w:eastAsia="zh-CN"/>
        </w:rPr>
        <w:t xml:space="preserve"> 3</w:t>
      </w:r>
      <w:r>
        <w:rPr>
          <w:rFonts w:ascii="宋体" w:hAnsi="宋体" w:cs="宋体"/>
          <w:color w:val="auto"/>
          <w:sz w:val="21"/>
          <w:szCs w:val="21"/>
          <w:u w:val="single"/>
        </w:rPr>
        <w:t>月</w:t>
      </w:r>
      <w:r>
        <w:rPr>
          <w:rFonts w:ascii="宋体" w:hAnsi="宋体" w:cs="宋体" w:hint="eastAsia"/>
          <w:color w:val="auto"/>
          <w:sz w:val="21"/>
          <w:szCs w:val="21"/>
          <w:u w:val="single"/>
          <w:lang w:val="en-US" w:eastAsia="zh-CN"/>
        </w:rPr>
        <w:t>16</w:t>
      </w:r>
      <w:r>
        <w:rPr>
          <w:rFonts w:ascii="宋体" w:hAnsi="宋体" w:cs="宋体"/>
          <w:color w:val="auto"/>
          <w:sz w:val="21"/>
          <w:szCs w:val="21"/>
          <w:u w:val="single"/>
        </w:rPr>
        <w:t>日至</w:t>
      </w:r>
      <w:r>
        <w:rPr>
          <w:rFonts w:ascii="宋体" w:hAnsi="宋体" w:cs="宋体" w:hint="eastAsia"/>
          <w:color w:val="auto"/>
          <w:sz w:val="21"/>
          <w:szCs w:val="21"/>
          <w:u w:val="single"/>
          <w:lang w:val="en-US" w:eastAsia="zh-CN"/>
        </w:rPr>
        <w:t>2021</w:t>
      </w:r>
      <w:r>
        <w:rPr>
          <w:rFonts w:ascii="宋体" w:hAnsi="宋体" w:cs="宋体"/>
          <w:color w:val="auto"/>
          <w:sz w:val="21"/>
          <w:szCs w:val="21"/>
          <w:u w:val="single"/>
        </w:rPr>
        <w:t>年</w:t>
      </w:r>
      <w:r>
        <w:rPr>
          <w:rFonts w:ascii="宋体" w:hAnsi="宋体" w:cs="宋体" w:hint="eastAsia"/>
          <w:color w:val="auto"/>
          <w:sz w:val="21"/>
          <w:szCs w:val="21"/>
          <w:u w:val="single"/>
          <w:lang w:val="en-US" w:eastAsia="zh-CN"/>
        </w:rPr>
        <w:t>3</w:t>
      </w:r>
      <w:r>
        <w:rPr>
          <w:rFonts w:ascii="宋体" w:hAnsi="宋体" w:cs="宋体"/>
          <w:color w:val="auto"/>
          <w:sz w:val="21"/>
          <w:szCs w:val="21"/>
          <w:u w:val="single"/>
        </w:rPr>
        <w:t>月</w:t>
      </w:r>
      <w:r>
        <w:rPr>
          <w:rFonts w:ascii="宋体" w:hAnsi="宋体" w:cs="宋体" w:hint="eastAsia"/>
          <w:color w:val="auto"/>
          <w:sz w:val="21"/>
          <w:szCs w:val="21"/>
          <w:u w:val="single"/>
          <w:lang w:val="en-US" w:eastAsia="zh-CN"/>
        </w:rPr>
        <w:t xml:space="preserve">23 </w:t>
      </w:r>
      <w:r>
        <w:rPr>
          <w:rFonts w:ascii="宋体" w:hAnsi="宋体" w:cs="宋体"/>
          <w:color w:val="auto"/>
          <w:sz w:val="21"/>
          <w:szCs w:val="21"/>
          <w:u w:val="single"/>
        </w:rPr>
        <w:t>日</w:t>
      </w:r>
      <w:r>
        <w:rPr>
          <w:rFonts w:ascii="宋体" w:hAnsi="宋体" w:cs="宋体" w:hint="eastAsia"/>
          <w:color w:val="auto"/>
          <w:sz w:val="21"/>
          <w:szCs w:val="21"/>
          <w:u w:val="single"/>
          <w:lang w:eastAsia="zh-CN"/>
        </w:rPr>
        <w:t>）</w:t>
      </w:r>
      <w:r>
        <w:rPr>
          <w:rFonts w:ascii="宋体" w:hAnsi="宋体" w:cs="宋体"/>
          <w:sz w:val="21"/>
          <w:szCs w:val="21"/>
        </w:rPr>
        <w:t>。</w:t>
      </w:r>
    </w:p>
    <w:p>
      <w:pPr>
        <w:widowControl/>
        <w:spacing w:line="480" w:lineRule="exact"/>
        <w:ind w:firstLine="424" w:firstLineChars="202"/>
        <w:rPr>
          <w:rFonts w:ascii="宋体" w:hAnsi="宋体" w:cs="宋体" w:hint="default"/>
          <w:b/>
          <w:sz w:val="21"/>
          <w:szCs w:val="21"/>
        </w:rPr>
      </w:pPr>
      <w:r>
        <w:rPr>
          <w:rFonts w:ascii="宋体" w:hAnsi="宋体" w:cs="宋体"/>
          <w:b/>
          <w:sz w:val="21"/>
          <w:szCs w:val="21"/>
        </w:rPr>
        <w:t>六、其他补充事宜：</w:t>
      </w:r>
    </w:p>
    <w:p>
      <w:pPr>
        <w:pStyle w:val="Default"/>
        <w:spacing w:line="360" w:lineRule="auto"/>
        <w:ind w:firstLine="420" w:firstLineChars="200"/>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投标保证金缴纳的缴纳：</w:t>
      </w:r>
    </w:p>
    <w:p>
      <w:pPr>
        <w:pStyle w:val="Default"/>
        <w:spacing w:line="360" w:lineRule="auto"/>
        <w:ind w:firstLine="420" w:firstLineChars="200"/>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1、保证金缴纳方式：转账、保函</w:t>
      </w:r>
    </w:p>
    <w:p>
      <w:pPr>
        <w:pStyle w:val="Default"/>
        <w:spacing w:line="360" w:lineRule="auto"/>
        <w:ind w:firstLine="420" w:firstLineChars="200"/>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2、保证金缴纳金额：大写: 柒万伍仟元整； 小写：75000.00元 ；（2%以内）</w:t>
      </w:r>
    </w:p>
    <w:p>
      <w:pPr>
        <w:pStyle w:val="Default"/>
        <w:spacing w:line="360" w:lineRule="auto"/>
        <w:ind w:firstLine="420" w:firstLineChars="200"/>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保证金缴纳流程：保证金缴纳流程：投标人（供应商）按规定数额银行转账后，用机构数字证书登录怒江州公共资源交易电子化平台保证金系统手动绑定并打印绑定回执，缴纳但无法绑定的，申请纠错，福贡县公共资源交易中心业务人员受理后，自动绑定，绑定后自行打印绑定回执。银行保函：保函申请人必须是投标人，受益人必须是投标人，保证人必须是投标人基本账号的开户银行；银行保函必须正确填写受益人和申请人的全称，并与招标文件规定的名称相一致，以免造成投标无效。具体操作流程详见怒江州公共资源交易电子化平台保证金系统操作手册（已上传到平台“学习园地”一栏，请免费自行下载最新手册）。</w:t>
      </w:r>
    </w:p>
    <w:p>
      <w:pPr>
        <w:pStyle w:val="Default"/>
        <w:spacing w:line="360" w:lineRule="auto"/>
        <w:ind w:firstLine="420" w:firstLineChars="200"/>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4、保证金缴纳时间：投标保证金须在投标截止时间</w:t>
      </w:r>
      <w:r>
        <w:rPr>
          <w:rFonts w:asciiTheme="minorEastAsia" w:eastAsiaTheme="minorEastAsia" w:hAnsiTheme="minorEastAsia" w:cstheme="minorEastAsia" w:hint="eastAsia"/>
          <w:b/>
          <w:bCs/>
          <w:sz w:val="21"/>
          <w:szCs w:val="21"/>
          <w:u w:val="single"/>
        </w:rPr>
        <w:t xml:space="preserve">  </w:t>
      </w:r>
      <w:r>
        <w:rPr>
          <w:rFonts w:asciiTheme="minorEastAsia" w:eastAsiaTheme="minorEastAsia" w:hAnsiTheme="minorEastAsia" w:cstheme="minorEastAsia" w:hint="eastAsia"/>
          <w:b/>
          <w:bCs/>
          <w:kern w:val="0"/>
          <w:sz w:val="21"/>
          <w:szCs w:val="21"/>
          <w:u w:val="single"/>
          <w:lang w:val="en-US" w:eastAsia="zh-CN"/>
        </w:rPr>
        <w:t xml:space="preserve">  2021年4月12日 16:00分</w:t>
      </w:r>
      <w:r>
        <w:rPr>
          <w:rFonts w:asciiTheme="minorEastAsia" w:eastAsiaTheme="minorEastAsia" w:hAnsiTheme="minorEastAsia" w:cstheme="minorEastAsia" w:hint="eastAsia"/>
          <w:sz w:val="21"/>
          <w:szCs w:val="21"/>
        </w:rPr>
        <w:t>以前，通过公司基本账户（自然人许可参与的项目除外）转账或者电汇的方式提交到以下指定账户，并注明项目编号和用途，不接受个人转账或现金；未按要求提交保证金的视为自动放弃参与此次招标活动。</w:t>
      </w:r>
    </w:p>
    <w:p>
      <w:pPr>
        <w:pStyle w:val="Default"/>
        <w:spacing w:line="360" w:lineRule="auto"/>
        <w:ind w:firstLine="420" w:firstLineChars="200"/>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5、保证金的退还：中标（成交）人的保证金在合同扫描件上传怒江州公共资源交易电子化平台后，5个工作日内含息退还；未中标(成交)人的保证金在中标（成交）通知书发出后5个工作日内全额含息退还。</w:t>
      </w:r>
    </w:p>
    <w:p>
      <w:pPr>
        <w:pStyle w:val="Default"/>
        <w:spacing w:line="360" w:lineRule="auto"/>
        <w:ind w:firstLine="420" w:firstLineChars="200"/>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开户名：福贡县公共资源交易中心</w:t>
      </w:r>
    </w:p>
    <w:p>
      <w:pPr>
        <w:pStyle w:val="Default"/>
        <w:spacing w:line="360" w:lineRule="auto"/>
        <w:ind w:firstLine="420" w:firstLineChars="200"/>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开户银行：中国建设银行股份有限公司怒江州分行营业室</w:t>
      </w:r>
    </w:p>
    <w:p>
      <w:pPr>
        <w:pStyle w:val="TableParagraph"/>
        <w:shd w:val="clear" w:color="auto" w:fill="auto"/>
        <w:kinsoku w:val="0"/>
        <w:overflowPunct w:val="0"/>
        <w:spacing w:before="5"/>
        <w:ind w:firstLine="440" w:firstLineChars="200"/>
        <w:rPr>
          <w:rFonts w:hint="default"/>
          <w:sz w:val="22"/>
          <w:szCs w:val="18"/>
        </w:rPr>
      </w:pPr>
      <w:r>
        <w:rPr>
          <w:sz w:val="22"/>
          <w:szCs w:val="18"/>
        </w:rPr>
        <w:t>账  号：</w:t>
      </w:r>
      <w:r>
        <w:rPr>
          <w:rFonts w:hint="eastAsia"/>
          <w:sz w:val="22"/>
          <w:szCs w:val="18"/>
        </w:rPr>
        <w:t xml:space="preserve">6232813990000007460 </w:t>
      </w:r>
    </w:p>
    <w:p>
      <w:pPr>
        <w:pStyle w:val="Default"/>
        <w:spacing w:line="360" w:lineRule="auto"/>
        <w:ind w:firstLine="420" w:firstLineChars="200"/>
        <w:jc w:val="both"/>
        <w:rPr>
          <w:rFonts w:asciiTheme="minorEastAsia" w:eastAsiaTheme="minorEastAsia" w:hAnsiTheme="minorEastAsia" w:cstheme="minorEastAsia" w:hint="eastAsia"/>
          <w:sz w:val="21"/>
          <w:szCs w:val="21"/>
          <w:lang w:val="en-US" w:eastAsia="zh-CN"/>
        </w:rPr>
      </w:pPr>
      <w:r>
        <w:rPr>
          <w:rFonts w:asciiTheme="minorEastAsia" w:eastAsiaTheme="minorEastAsia" w:hAnsiTheme="minorEastAsia" w:cstheme="minorEastAsia" w:hint="eastAsia"/>
          <w:sz w:val="21"/>
          <w:szCs w:val="21"/>
          <w:lang w:eastAsia="zh-CN"/>
        </w:rPr>
        <w:t>福贡县</w:t>
      </w:r>
      <w:r>
        <w:rPr>
          <w:rFonts w:asciiTheme="minorEastAsia" w:eastAsiaTheme="minorEastAsia" w:hAnsiTheme="minorEastAsia" w:cstheme="minorEastAsia" w:hint="eastAsia"/>
          <w:sz w:val="21"/>
          <w:szCs w:val="21"/>
        </w:rPr>
        <w:t>公共资源交易中心申请纠错联系人及其电话：</w:t>
      </w:r>
      <w:r>
        <w:rPr>
          <w:rFonts w:asciiTheme="minorEastAsia" w:eastAsiaTheme="minorEastAsia" w:hAnsiTheme="minorEastAsia" w:cstheme="minorEastAsia" w:hint="eastAsia"/>
          <w:sz w:val="21"/>
          <w:szCs w:val="21"/>
          <w:lang w:eastAsia="zh-CN"/>
        </w:rPr>
        <w:t>阿</w:t>
      </w:r>
      <w:r>
        <w:rPr>
          <w:rFonts w:asciiTheme="minorEastAsia" w:eastAsiaTheme="minorEastAsia" w:hAnsiTheme="minorEastAsia" w:cstheme="minorEastAsia" w:hint="eastAsia"/>
          <w:sz w:val="21"/>
          <w:szCs w:val="21"/>
        </w:rPr>
        <w:t>女士，0886-</w:t>
      </w:r>
      <w:r>
        <w:rPr>
          <w:rFonts w:asciiTheme="minorEastAsia" w:eastAsiaTheme="minorEastAsia" w:hAnsiTheme="minorEastAsia" w:cstheme="minorEastAsia" w:hint="eastAsia"/>
          <w:sz w:val="21"/>
          <w:szCs w:val="21"/>
          <w:lang w:val="en-US" w:eastAsia="zh-CN"/>
        </w:rPr>
        <w:t>3413820</w:t>
      </w:r>
    </w:p>
    <w:p>
      <w:pPr>
        <w:pStyle w:val="Default"/>
        <w:spacing w:line="360" w:lineRule="auto"/>
        <w:ind w:firstLine="420" w:firstLineChars="200"/>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建行银行怒江分行保证金缴纳后未到账原因查询联系人及联系电话：鲍女士，0886—8887048</w:t>
      </w:r>
    </w:p>
    <w:p>
      <w:pPr>
        <w:pStyle w:val="Default"/>
        <w:spacing w:line="360" w:lineRule="auto"/>
        <w:ind w:firstLine="420" w:firstLineChars="200"/>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北京筑龙信息技术有限责任公司技术支持服务热线(服务QQ):400-9618-998</w:t>
      </w:r>
    </w:p>
    <w:p>
      <w:pPr>
        <w:widowControl/>
        <w:spacing w:line="440" w:lineRule="exact"/>
        <w:ind w:firstLine="424" w:firstLineChars="202"/>
        <w:rPr>
          <w:rFonts w:ascii="宋体" w:hAnsi="宋体" w:cs="宋体" w:hint="default"/>
          <w:b/>
          <w:sz w:val="21"/>
          <w:szCs w:val="21"/>
        </w:rPr>
      </w:pPr>
      <w:r>
        <w:rPr>
          <w:rFonts w:ascii="宋体" w:hAnsi="宋体" w:cs="宋体"/>
          <w:b/>
          <w:sz w:val="21"/>
          <w:szCs w:val="21"/>
        </w:rPr>
        <w:t>七、凡对本次采购提出询问，请按以下方式联系：</w:t>
      </w:r>
    </w:p>
    <w:p>
      <w:pPr>
        <w:widowControl/>
        <w:spacing w:line="440" w:lineRule="exact"/>
        <w:ind w:firstLine="424" w:firstLineChars="202"/>
        <w:rPr>
          <w:rFonts w:ascii="宋体" w:hAnsi="宋体" w:cs="宋体" w:hint="default"/>
          <w:sz w:val="21"/>
          <w:szCs w:val="21"/>
        </w:rPr>
      </w:pPr>
      <w:r>
        <w:rPr>
          <w:rFonts w:ascii="宋体" w:hAnsi="宋体" w:cs="宋体"/>
          <w:sz w:val="21"/>
          <w:szCs w:val="21"/>
        </w:rPr>
        <w:t>1.采购人信息</w:t>
      </w:r>
    </w:p>
    <w:p>
      <w:pPr>
        <w:widowControl/>
        <w:spacing w:line="440" w:lineRule="exact"/>
        <w:ind w:firstLine="424" w:firstLineChars="202"/>
        <w:rPr>
          <w:rFonts w:ascii="宋体" w:hAnsi="宋体" w:cs="宋体" w:hint="default"/>
          <w:sz w:val="21"/>
          <w:szCs w:val="21"/>
        </w:rPr>
      </w:pPr>
      <w:r>
        <w:rPr>
          <w:rFonts w:ascii="宋体" w:hAnsi="宋体" w:cs="宋体"/>
          <w:sz w:val="21"/>
          <w:szCs w:val="21"/>
        </w:rPr>
        <w:t>采 购 人：福贡县林业和草原局</w:t>
      </w:r>
    </w:p>
    <w:p>
      <w:pPr>
        <w:widowControl/>
        <w:spacing w:line="440" w:lineRule="exact"/>
        <w:ind w:firstLine="424" w:firstLineChars="202"/>
        <w:rPr>
          <w:rFonts w:ascii="宋体" w:hAnsi="宋体" w:cs="宋体" w:hint="default"/>
          <w:sz w:val="21"/>
          <w:szCs w:val="21"/>
        </w:rPr>
      </w:pPr>
      <w:r>
        <w:rPr>
          <w:rFonts w:ascii="宋体" w:hAnsi="宋体" w:cs="宋体"/>
          <w:sz w:val="21"/>
          <w:szCs w:val="21"/>
        </w:rPr>
        <w:t>地    址：福贡县上帕镇八一小区军民路</w:t>
      </w:r>
    </w:p>
    <w:p>
      <w:pPr>
        <w:widowControl/>
        <w:spacing w:line="440" w:lineRule="exact"/>
        <w:ind w:firstLine="424" w:firstLineChars="202"/>
        <w:rPr>
          <w:rFonts w:ascii="宋体" w:hAnsi="宋体" w:cs="宋体" w:hint="default"/>
          <w:sz w:val="21"/>
          <w:szCs w:val="21"/>
        </w:rPr>
      </w:pPr>
      <w:r>
        <w:rPr>
          <w:rFonts w:ascii="宋体" w:hAnsi="宋体" w:cs="宋体"/>
          <w:sz w:val="21"/>
          <w:szCs w:val="21"/>
        </w:rPr>
        <w:t>联 系 人：杨杰</w:t>
      </w:r>
    </w:p>
    <w:p>
      <w:pPr>
        <w:widowControl/>
        <w:spacing w:line="440" w:lineRule="exact"/>
        <w:ind w:firstLine="424" w:firstLineChars="202"/>
        <w:rPr>
          <w:rFonts w:ascii="宋体" w:hAnsi="宋体" w:cs="宋体" w:hint="default"/>
          <w:sz w:val="21"/>
          <w:szCs w:val="21"/>
        </w:rPr>
      </w:pPr>
      <w:r>
        <w:rPr>
          <w:rFonts w:ascii="宋体" w:hAnsi="宋体" w:cs="宋体"/>
          <w:sz w:val="21"/>
          <w:szCs w:val="21"/>
        </w:rPr>
        <w:t>电    话：15987306616</w:t>
      </w:r>
    </w:p>
    <w:p>
      <w:pPr>
        <w:widowControl/>
        <w:spacing w:line="440" w:lineRule="exact"/>
        <w:ind w:firstLine="424" w:firstLineChars="202"/>
        <w:rPr>
          <w:rFonts w:ascii="宋体" w:hAnsi="宋体" w:cs="宋体" w:hint="default"/>
          <w:sz w:val="21"/>
          <w:szCs w:val="21"/>
        </w:rPr>
      </w:pPr>
      <w:r>
        <w:rPr>
          <w:rFonts w:ascii="宋体" w:hAnsi="宋体" w:cs="宋体"/>
          <w:sz w:val="21"/>
          <w:szCs w:val="21"/>
        </w:rPr>
        <w:t>2.采购代理机构信息</w:t>
      </w:r>
    </w:p>
    <w:p>
      <w:pPr>
        <w:widowControl/>
        <w:spacing w:line="440" w:lineRule="exact"/>
        <w:ind w:firstLine="424" w:firstLineChars="202"/>
        <w:rPr>
          <w:rFonts w:ascii="宋体" w:hAnsi="宋体" w:cs="宋体" w:hint="default"/>
          <w:sz w:val="21"/>
          <w:szCs w:val="21"/>
        </w:rPr>
      </w:pPr>
      <w:r>
        <w:rPr>
          <w:rFonts w:ascii="宋体" w:hAnsi="宋体" w:cs="宋体"/>
          <w:sz w:val="21"/>
          <w:szCs w:val="21"/>
        </w:rPr>
        <w:t>代理机构：云南凯地招标咨询代理有限公司</w:t>
      </w:r>
    </w:p>
    <w:p>
      <w:pPr>
        <w:widowControl/>
        <w:spacing w:line="440" w:lineRule="exact"/>
        <w:ind w:firstLine="424" w:firstLineChars="202"/>
        <w:rPr>
          <w:rFonts w:ascii="宋体" w:hAnsi="宋体" w:cs="宋体" w:hint="default"/>
          <w:sz w:val="21"/>
          <w:szCs w:val="21"/>
        </w:rPr>
      </w:pPr>
      <w:r>
        <w:rPr>
          <w:rFonts w:ascii="宋体" w:hAnsi="宋体" w:cs="宋体"/>
          <w:sz w:val="21"/>
          <w:szCs w:val="21"/>
        </w:rPr>
        <w:t>地    址：怒江州泸水市六库镇金玉澜湾2栋5单元</w:t>
      </w:r>
    </w:p>
    <w:p>
      <w:pPr>
        <w:widowControl/>
        <w:spacing w:line="440" w:lineRule="exact"/>
        <w:ind w:firstLine="424" w:firstLineChars="202"/>
        <w:rPr>
          <w:rFonts w:ascii="宋体" w:hAnsi="宋体" w:cs="宋体" w:hint="default"/>
          <w:sz w:val="21"/>
          <w:szCs w:val="21"/>
        </w:rPr>
      </w:pPr>
      <w:r>
        <w:rPr>
          <w:rFonts w:ascii="宋体" w:hAnsi="宋体" w:cs="宋体"/>
          <w:sz w:val="21"/>
          <w:szCs w:val="21"/>
        </w:rPr>
        <w:t>联 系 人： 王女士</w:t>
      </w:r>
    </w:p>
    <w:p>
      <w:pPr>
        <w:widowControl/>
        <w:spacing w:line="440" w:lineRule="exact"/>
        <w:ind w:firstLine="424" w:firstLineChars="202"/>
        <w:rPr>
          <w:rFonts w:ascii="宋体" w:hAnsi="宋体" w:cs="宋体" w:hint="default"/>
          <w:sz w:val="21"/>
          <w:szCs w:val="21"/>
        </w:rPr>
      </w:pPr>
      <w:r>
        <w:rPr>
          <w:rFonts w:ascii="宋体" w:hAnsi="宋体" w:cs="宋体"/>
          <w:sz w:val="21"/>
          <w:szCs w:val="21"/>
        </w:rPr>
        <w:t>联系电话：13308867960</w:t>
      </w:r>
    </w:p>
    <w:p>
      <w:pPr>
        <w:pStyle w:val="BodyText"/>
        <w:rPr>
          <w:rFonts w:hint="default"/>
        </w:rPr>
      </w:pPr>
    </w:p>
    <w:p>
      <w:pPr>
        <w:jc w:val="center"/>
        <w:rPr>
          <w:rFonts w:ascii="仿宋" w:eastAsia="仿宋" w:hAnsi="仿宋" w:cs="宋体" w:hint="default"/>
          <w:b/>
          <w:w w:val="95"/>
          <w:sz w:val="40"/>
          <w:szCs w:val="21"/>
        </w:rPr>
        <w:sectPr>
          <w:headerReference w:type="even" r:id="rId8"/>
          <w:headerReference w:type="default" r:id="rId9"/>
          <w:footerReference w:type="default" r:id="rId10"/>
          <w:pgSz w:w="11906" w:h="16838"/>
          <w:pgMar w:top="1134" w:right="1134" w:bottom="1134" w:left="1134" w:header="624" w:footer="992" w:gutter="0"/>
          <w:cols w:num="1" w:space="708"/>
          <w:docGrid w:linePitch="312" w:charSpace="0"/>
        </w:sectPr>
      </w:pPr>
      <w:r>
        <w:rPr>
          <w:rFonts w:ascii="宋体" w:hAnsi="宋体" w:cs="宋体"/>
          <w:b/>
          <w:bCs/>
          <w:color w:val="000000" w:themeColor="text1"/>
          <w:sz w:val="32"/>
          <w:szCs w:val="24"/>
          <w14:textFill>
            <w14:solidFill>
              <w14:schemeClr w14:val="tx1"/>
            </w14:solidFill>
          </w14:textFill>
        </w:rPr>
        <w:t>温馨提示：疫情期间所有投标人必须严格遵守我县疫情防控的相关规定。投标当日需佩戴口罩，扫健康码才能进场投标。</w:t>
      </w:r>
    </w:p>
    <w:p>
      <w:pPr>
        <w:widowControl/>
        <w:spacing w:line="120" w:lineRule="auto"/>
        <w:rPr>
          <w:rFonts w:hint="default"/>
          <w:bCs/>
          <w:szCs w:val="21"/>
        </w:rPr>
      </w:pPr>
    </w:p>
    <w:p>
      <w:pPr>
        <w:pStyle w:val="Heading1"/>
        <w:jc w:val="center"/>
        <w:rPr>
          <w:rFonts w:ascii="宋体" w:eastAsia="宋体" w:hAnsi="宋体" w:hint="default"/>
          <w:bCs/>
          <w:sz w:val="36"/>
          <w:szCs w:val="36"/>
        </w:rPr>
      </w:pPr>
      <w:r>
        <w:rPr>
          <w:rFonts w:ascii="宋体" w:eastAsia="宋体" w:hAnsi="宋体"/>
          <w:b w:val="0"/>
          <w:sz w:val="36"/>
        </w:rPr>
        <w:t>第二章 投标人须知</w:t>
      </w:r>
    </w:p>
    <w:p>
      <w:pPr>
        <w:pStyle w:val="BodyText"/>
        <w:ind w:left="0"/>
        <w:rPr>
          <w:rFonts w:hint="default"/>
          <w:sz w:val="32"/>
          <w:szCs w:val="32"/>
        </w:rPr>
      </w:pPr>
      <w:bookmarkStart w:id="6" w:name="_Toc396092973"/>
      <w:bookmarkStart w:id="7" w:name="_Toc348009979"/>
      <w:r>
        <w:rPr>
          <w:sz w:val="32"/>
          <w:szCs w:val="32"/>
        </w:rPr>
        <w:t>投标人须知前附表</w:t>
      </w:r>
      <w:bookmarkEnd w:id="6"/>
      <w:bookmarkEnd w:id="7"/>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32"/>
        <w:gridCol w:w="2388"/>
        <w:gridCol w:w="615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2"/>
          <w:jc w:val="center"/>
        </w:trPr>
        <w:tc>
          <w:tcPr>
            <w:tcW w:w="932" w:type="dxa"/>
            <w:vAlign w:val="center"/>
          </w:tcPr>
          <w:p>
            <w:pPr>
              <w:pStyle w:val="PlainText"/>
              <w:jc w:val="center"/>
              <w:rPr>
                <w:rFonts w:hAnsi="宋体" w:hint="default"/>
                <w:b/>
                <w:szCs w:val="24"/>
              </w:rPr>
            </w:pPr>
            <w:r>
              <w:rPr>
                <w:rFonts w:hAnsi="宋体"/>
                <w:b/>
                <w:szCs w:val="24"/>
              </w:rPr>
              <w:t>条款号</w:t>
            </w:r>
          </w:p>
        </w:tc>
        <w:tc>
          <w:tcPr>
            <w:tcW w:w="2388" w:type="dxa"/>
            <w:vAlign w:val="center"/>
          </w:tcPr>
          <w:p>
            <w:pPr>
              <w:pStyle w:val="PlainText"/>
              <w:jc w:val="center"/>
              <w:rPr>
                <w:rFonts w:hAnsi="宋体" w:hint="default"/>
                <w:b/>
                <w:szCs w:val="24"/>
              </w:rPr>
            </w:pPr>
            <w:r>
              <w:rPr>
                <w:rFonts w:hAnsi="宋体"/>
                <w:b/>
                <w:szCs w:val="24"/>
              </w:rPr>
              <w:t>条 款 名 称</w:t>
            </w:r>
          </w:p>
        </w:tc>
        <w:tc>
          <w:tcPr>
            <w:tcW w:w="6159" w:type="dxa"/>
            <w:vAlign w:val="center"/>
          </w:tcPr>
          <w:p>
            <w:pPr>
              <w:pStyle w:val="PlainText"/>
              <w:jc w:val="center"/>
              <w:rPr>
                <w:rFonts w:hAnsi="宋体" w:hint="default"/>
                <w:b/>
                <w:szCs w:val="24"/>
              </w:rPr>
            </w:pPr>
            <w:r>
              <w:rPr>
                <w:rFonts w:hAnsi="宋体"/>
                <w:b/>
                <w:szCs w:val="24"/>
              </w:rPr>
              <w:t>编 列 内 容</w:t>
            </w:r>
          </w:p>
        </w:tc>
      </w:tr>
      <w:tr>
        <w:tblPrEx>
          <w:tblW w:w="0" w:type="auto"/>
          <w:jc w:val="center"/>
          <w:tblLayout w:type="fixed"/>
          <w:tblCellMar>
            <w:top w:w="0" w:type="dxa"/>
            <w:left w:w="108" w:type="dxa"/>
            <w:bottom w:w="0" w:type="dxa"/>
            <w:right w:w="108" w:type="dxa"/>
          </w:tblCellMar>
        </w:tblPrEx>
        <w:trPr>
          <w:cantSplit/>
          <w:trHeight w:val="70"/>
          <w:jc w:val="center"/>
        </w:trPr>
        <w:tc>
          <w:tcPr>
            <w:tcW w:w="932" w:type="dxa"/>
            <w:vMerge w:val="restart"/>
            <w:vAlign w:val="center"/>
          </w:tcPr>
          <w:p>
            <w:pPr>
              <w:pStyle w:val="PlainText"/>
              <w:jc w:val="center"/>
              <w:rPr>
                <w:rFonts w:hAnsi="宋体" w:hint="default"/>
                <w:szCs w:val="21"/>
              </w:rPr>
            </w:pPr>
            <w:r>
              <w:rPr>
                <w:rFonts w:hAnsi="宋体"/>
                <w:szCs w:val="21"/>
              </w:rPr>
              <w:t>1</w:t>
            </w:r>
          </w:p>
        </w:tc>
        <w:tc>
          <w:tcPr>
            <w:tcW w:w="2388" w:type="dxa"/>
            <w:vAlign w:val="center"/>
          </w:tcPr>
          <w:p>
            <w:pPr>
              <w:pStyle w:val="PlainText"/>
              <w:rPr>
                <w:rFonts w:hAnsi="宋体" w:hint="default"/>
                <w:szCs w:val="21"/>
                <w:u w:val="single"/>
              </w:rPr>
            </w:pPr>
            <w:r>
              <w:rPr>
                <w:rFonts w:hAnsi="宋体"/>
                <w:bCs/>
                <w:szCs w:val="21"/>
              </w:rPr>
              <w:t>采 购 人</w:t>
            </w:r>
          </w:p>
        </w:tc>
        <w:tc>
          <w:tcPr>
            <w:tcW w:w="6159" w:type="dxa"/>
            <w:vAlign w:val="center"/>
          </w:tcPr>
          <w:p>
            <w:pPr>
              <w:pStyle w:val="PlainText"/>
              <w:rPr>
                <w:rFonts w:hAnsi="宋体" w:hint="default"/>
                <w:szCs w:val="21"/>
              </w:rPr>
            </w:pPr>
            <w:r>
              <w:t>福贡县林业和草原局</w:t>
            </w:r>
          </w:p>
        </w:tc>
      </w:tr>
      <w:tr>
        <w:tblPrEx>
          <w:tblW w:w="0" w:type="auto"/>
          <w:jc w:val="center"/>
          <w:tblLayout w:type="fixed"/>
          <w:tblCellMar>
            <w:top w:w="0" w:type="dxa"/>
            <w:left w:w="108" w:type="dxa"/>
            <w:bottom w:w="0" w:type="dxa"/>
            <w:right w:w="108" w:type="dxa"/>
          </w:tblCellMar>
        </w:tblPrEx>
        <w:trPr>
          <w:cantSplit/>
          <w:trHeight w:val="70"/>
          <w:jc w:val="center"/>
        </w:trPr>
        <w:tc>
          <w:tcPr>
            <w:tcW w:w="932" w:type="dxa"/>
            <w:vMerge/>
            <w:vAlign w:val="center"/>
          </w:tcPr>
          <w:p>
            <w:pPr>
              <w:rPr>
                <w:rFonts w:ascii="宋体" w:hAnsi="宋体" w:hint="default"/>
                <w:szCs w:val="21"/>
              </w:rPr>
            </w:pPr>
          </w:p>
        </w:tc>
        <w:tc>
          <w:tcPr>
            <w:tcW w:w="2388" w:type="dxa"/>
            <w:vAlign w:val="center"/>
          </w:tcPr>
          <w:p>
            <w:pPr>
              <w:pStyle w:val="PlainText"/>
              <w:rPr>
                <w:rFonts w:hAnsi="宋体" w:hint="default"/>
                <w:bCs/>
                <w:szCs w:val="21"/>
              </w:rPr>
            </w:pPr>
            <w:r>
              <w:rPr>
                <w:rFonts w:hAnsi="宋体"/>
                <w:bCs/>
                <w:szCs w:val="21"/>
              </w:rPr>
              <w:t>采购代理机构</w:t>
            </w:r>
          </w:p>
        </w:tc>
        <w:tc>
          <w:tcPr>
            <w:tcW w:w="6159" w:type="dxa"/>
            <w:vAlign w:val="center"/>
          </w:tcPr>
          <w:p>
            <w:pPr>
              <w:pStyle w:val="PlainText"/>
              <w:rPr>
                <w:rFonts w:hAnsi="宋体" w:hint="default"/>
                <w:szCs w:val="21"/>
              </w:rPr>
            </w:pPr>
            <w:r>
              <w:rPr>
                <w:rFonts w:hAnsi="宋体"/>
              </w:rPr>
              <w:t>云南凯地招标咨询代理有限公司</w:t>
            </w:r>
          </w:p>
        </w:tc>
      </w:tr>
      <w:tr>
        <w:tblPrEx>
          <w:tblW w:w="0" w:type="auto"/>
          <w:jc w:val="center"/>
          <w:tblLayout w:type="fixed"/>
          <w:tblCellMar>
            <w:top w:w="0" w:type="dxa"/>
            <w:left w:w="108" w:type="dxa"/>
            <w:bottom w:w="0" w:type="dxa"/>
            <w:right w:w="108" w:type="dxa"/>
          </w:tblCellMar>
        </w:tblPrEx>
        <w:trPr>
          <w:cantSplit/>
          <w:trHeight w:val="210"/>
          <w:jc w:val="center"/>
        </w:trPr>
        <w:tc>
          <w:tcPr>
            <w:tcW w:w="932" w:type="dxa"/>
            <w:vMerge/>
            <w:vAlign w:val="center"/>
          </w:tcPr>
          <w:p>
            <w:pPr>
              <w:rPr>
                <w:rFonts w:ascii="宋体" w:hAnsi="宋体" w:hint="default"/>
                <w:szCs w:val="21"/>
              </w:rPr>
            </w:pPr>
          </w:p>
        </w:tc>
        <w:tc>
          <w:tcPr>
            <w:tcW w:w="2388" w:type="dxa"/>
            <w:vAlign w:val="center"/>
          </w:tcPr>
          <w:p>
            <w:pPr>
              <w:pStyle w:val="PlainText"/>
              <w:rPr>
                <w:rFonts w:hAnsi="宋体" w:hint="default"/>
                <w:szCs w:val="21"/>
              </w:rPr>
            </w:pPr>
            <w:r>
              <w:rPr>
                <w:rFonts w:hAnsi="宋体"/>
                <w:szCs w:val="21"/>
              </w:rPr>
              <w:t>项目名称及招标编号</w:t>
            </w:r>
          </w:p>
        </w:tc>
        <w:tc>
          <w:tcPr>
            <w:tcW w:w="6159" w:type="dxa"/>
            <w:vAlign w:val="center"/>
          </w:tcPr>
          <w:p>
            <w:pPr>
              <w:widowControl/>
              <w:spacing w:line="432" w:lineRule="exact"/>
              <w:rPr>
                <w:rFonts w:hint="default"/>
              </w:rPr>
            </w:pPr>
            <w:r>
              <w:rPr>
                <w:rFonts w:hAnsi="宋体"/>
                <w:szCs w:val="21"/>
              </w:rPr>
              <w:t>项目名称：</w:t>
            </w:r>
            <w:r>
              <w:t>福贡县林业和草原局护林员巡护装备购买项目</w:t>
            </w:r>
          </w:p>
          <w:p>
            <w:pPr>
              <w:pStyle w:val="PlainText"/>
              <w:rPr>
                <w:rFonts w:hAnsi="宋体" w:hint="default"/>
                <w:szCs w:val="21"/>
              </w:rPr>
            </w:pPr>
            <w:r>
              <w:rPr>
                <w:rFonts w:hAnsi="宋体"/>
                <w:szCs w:val="21"/>
              </w:rPr>
              <w:t>项目编号：</w:t>
            </w:r>
            <w:r>
              <w:rPr>
                <w:rFonts w:hAnsi="宋体"/>
              </w:rPr>
              <w:t>YNKDZB2021-001</w:t>
            </w:r>
          </w:p>
          <w:p>
            <w:pPr>
              <w:pStyle w:val="PlainText"/>
              <w:rPr>
                <w:rFonts w:hAnsi="宋体" w:hint="default"/>
                <w:szCs w:val="21"/>
                <w:u w:val="single"/>
              </w:rPr>
            </w:pPr>
            <w:r>
              <w:rPr>
                <w:rFonts w:hAnsi="宋体"/>
                <w:szCs w:val="21"/>
              </w:rPr>
              <w:t>采购预算价：7596470.00元</w:t>
            </w:r>
          </w:p>
        </w:tc>
      </w:tr>
      <w:tr>
        <w:tblPrEx>
          <w:tblW w:w="0" w:type="auto"/>
          <w:jc w:val="center"/>
          <w:tblLayout w:type="fixed"/>
          <w:tblCellMar>
            <w:top w:w="0" w:type="dxa"/>
            <w:left w:w="108" w:type="dxa"/>
            <w:bottom w:w="0" w:type="dxa"/>
            <w:right w:w="108" w:type="dxa"/>
          </w:tblCellMar>
        </w:tblPrEx>
        <w:trPr>
          <w:trHeight w:val="388"/>
          <w:jc w:val="center"/>
        </w:trPr>
        <w:tc>
          <w:tcPr>
            <w:tcW w:w="932" w:type="dxa"/>
            <w:vAlign w:val="center"/>
          </w:tcPr>
          <w:p>
            <w:pPr>
              <w:pStyle w:val="PlainText"/>
              <w:jc w:val="center"/>
              <w:rPr>
                <w:rFonts w:hAnsi="宋体" w:hint="default"/>
                <w:szCs w:val="21"/>
              </w:rPr>
            </w:pPr>
            <w:r>
              <w:rPr>
                <w:rFonts w:hAnsi="宋体"/>
                <w:szCs w:val="21"/>
              </w:rPr>
              <w:t>2</w:t>
            </w:r>
          </w:p>
        </w:tc>
        <w:tc>
          <w:tcPr>
            <w:tcW w:w="2388" w:type="dxa"/>
            <w:vAlign w:val="center"/>
          </w:tcPr>
          <w:p>
            <w:pPr>
              <w:pStyle w:val="PlainText"/>
              <w:rPr>
                <w:rFonts w:hAnsi="宋体" w:hint="default"/>
                <w:szCs w:val="21"/>
              </w:rPr>
            </w:pPr>
            <w:r>
              <w:rPr>
                <w:rFonts w:hAnsi="宋体"/>
                <w:szCs w:val="21"/>
              </w:rPr>
              <w:t>资金来源</w:t>
            </w:r>
          </w:p>
        </w:tc>
        <w:tc>
          <w:tcPr>
            <w:tcW w:w="6159" w:type="dxa"/>
            <w:vAlign w:val="center"/>
          </w:tcPr>
          <w:p>
            <w:pPr>
              <w:pStyle w:val="PlainText"/>
              <w:rPr>
                <w:rFonts w:hAnsi="宋体" w:hint="default"/>
                <w:szCs w:val="21"/>
              </w:rPr>
            </w:pPr>
            <w:r>
              <w:rPr>
                <w:rFonts w:hAnsi="宋体"/>
                <w:szCs w:val="21"/>
              </w:rPr>
              <w:t>财政拨款</w:t>
            </w:r>
          </w:p>
        </w:tc>
      </w:tr>
      <w:tr>
        <w:tblPrEx>
          <w:tblW w:w="0" w:type="auto"/>
          <w:jc w:val="center"/>
          <w:tblLayout w:type="fixed"/>
          <w:tblCellMar>
            <w:top w:w="0" w:type="dxa"/>
            <w:left w:w="108" w:type="dxa"/>
            <w:bottom w:w="0" w:type="dxa"/>
            <w:right w:w="108" w:type="dxa"/>
          </w:tblCellMar>
        </w:tblPrEx>
        <w:trPr>
          <w:trHeight w:val="538"/>
          <w:jc w:val="center"/>
        </w:trPr>
        <w:tc>
          <w:tcPr>
            <w:tcW w:w="932" w:type="dxa"/>
            <w:vAlign w:val="center"/>
          </w:tcPr>
          <w:p>
            <w:pPr>
              <w:pStyle w:val="PlainText"/>
              <w:jc w:val="center"/>
              <w:rPr>
                <w:rFonts w:hAnsi="宋体" w:hint="default"/>
                <w:szCs w:val="21"/>
              </w:rPr>
            </w:pPr>
            <w:r>
              <w:rPr>
                <w:rFonts w:hAnsi="宋体"/>
                <w:szCs w:val="21"/>
              </w:rPr>
              <w:t>3</w:t>
            </w:r>
          </w:p>
        </w:tc>
        <w:tc>
          <w:tcPr>
            <w:tcW w:w="2388" w:type="dxa"/>
            <w:vAlign w:val="center"/>
          </w:tcPr>
          <w:p>
            <w:pPr>
              <w:pStyle w:val="PlainText"/>
              <w:rPr>
                <w:rFonts w:hAnsi="宋体" w:hint="default"/>
                <w:szCs w:val="21"/>
              </w:rPr>
            </w:pPr>
            <w:r>
              <w:rPr>
                <w:rFonts w:hAnsi="宋体"/>
                <w:szCs w:val="21"/>
              </w:rPr>
              <w:t>招标范围</w:t>
            </w:r>
          </w:p>
        </w:tc>
        <w:tc>
          <w:tcPr>
            <w:tcW w:w="6159" w:type="dxa"/>
            <w:vAlign w:val="center"/>
          </w:tcPr>
          <w:p>
            <w:pPr>
              <w:pStyle w:val="PlainText"/>
              <w:rPr>
                <w:rFonts w:hAnsi="宋体" w:hint="default"/>
                <w:szCs w:val="21"/>
                <w:u w:val="single"/>
              </w:rPr>
            </w:pPr>
            <w:r>
              <w:rPr>
                <w:rFonts w:hAnsi="宋体"/>
                <w:szCs w:val="21"/>
              </w:rPr>
              <w:t>具体详见招标文件。</w:t>
            </w:r>
          </w:p>
        </w:tc>
      </w:tr>
      <w:tr>
        <w:tblPrEx>
          <w:tblW w:w="0" w:type="auto"/>
          <w:jc w:val="center"/>
          <w:tblLayout w:type="fixed"/>
          <w:tblCellMar>
            <w:top w:w="0" w:type="dxa"/>
            <w:left w:w="108" w:type="dxa"/>
            <w:bottom w:w="0" w:type="dxa"/>
            <w:right w:w="108" w:type="dxa"/>
          </w:tblCellMar>
        </w:tblPrEx>
        <w:trPr>
          <w:trHeight w:val="178"/>
          <w:jc w:val="center"/>
        </w:trPr>
        <w:tc>
          <w:tcPr>
            <w:tcW w:w="932" w:type="dxa"/>
            <w:vAlign w:val="center"/>
          </w:tcPr>
          <w:p>
            <w:pPr>
              <w:pStyle w:val="PlainText"/>
              <w:jc w:val="center"/>
              <w:rPr>
                <w:rFonts w:hAnsi="宋体" w:hint="default"/>
                <w:szCs w:val="21"/>
              </w:rPr>
            </w:pPr>
            <w:r>
              <w:rPr>
                <w:rFonts w:hAnsi="宋体"/>
                <w:szCs w:val="21"/>
              </w:rPr>
              <w:t>4</w:t>
            </w:r>
          </w:p>
        </w:tc>
        <w:tc>
          <w:tcPr>
            <w:tcW w:w="2388" w:type="dxa"/>
            <w:vAlign w:val="center"/>
          </w:tcPr>
          <w:p>
            <w:pPr>
              <w:pStyle w:val="PlainText"/>
              <w:rPr>
                <w:rFonts w:hAnsi="宋体" w:hint="default"/>
                <w:szCs w:val="21"/>
              </w:rPr>
            </w:pPr>
            <w:r>
              <w:rPr>
                <w:rFonts w:hAnsi="宋体"/>
                <w:szCs w:val="21"/>
              </w:rPr>
              <w:t>交货</w:t>
            </w:r>
          </w:p>
        </w:tc>
        <w:tc>
          <w:tcPr>
            <w:tcW w:w="6159" w:type="dxa"/>
            <w:vAlign w:val="center"/>
          </w:tcPr>
          <w:p>
            <w:pPr>
              <w:pStyle w:val="PlainText"/>
              <w:rPr>
                <w:rFonts w:hAnsi="宋体" w:hint="default"/>
                <w:szCs w:val="21"/>
              </w:rPr>
            </w:pPr>
            <w:r>
              <w:rPr>
                <w:rFonts w:hAnsi="宋体"/>
                <w:szCs w:val="21"/>
              </w:rPr>
              <w:t>1.交货地点：福贡县林业和草原局；</w:t>
            </w:r>
          </w:p>
          <w:p>
            <w:pPr>
              <w:pStyle w:val="PlainText"/>
              <w:rPr>
                <w:rFonts w:hAnsi="宋体" w:hint="default"/>
                <w:szCs w:val="21"/>
              </w:rPr>
            </w:pPr>
            <w:r>
              <w:rPr>
                <w:rFonts w:hAnsi="宋体"/>
                <w:szCs w:val="21"/>
              </w:rPr>
              <w:t>2.交货方式：现场交货。</w:t>
            </w:r>
          </w:p>
          <w:p>
            <w:pPr>
              <w:pStyle w:val="PlainText"/>
              <w:rPr>
                <w:rFonts w:hAnsi="宋体" w:hint="default"/>
                <w:szCs w:val="21"/>
              </w:rPr>
            </w:pPr>
            <w:r>
              <w:rPr>
                <w:rFonts w:hAnsi="宋体"/>
                <w:szCs w:val="21"/>
              </w:rPr>
              <w:t>3.交货期</w:t>
            </w:r>
            <w:r>
              <w:rPr>
                <w:rFonts w:hAnsi="宋体"/>
                <w:szCs w:val="21"/>
                <w:highlight w:val="none"/>
              </w:rPr>
              <w:t>：25日历天</w:t>
            </w:r>
          </w:p>
        </w:tc>
      </w:tr>
      <w:tr>
        <w:tblPrEx>
          <w:tblW w:w="0" w:type="auto"/>
          <w:jc w:val="center"/>
          <w:tblLayout w:type="fixed"/>
          <w:tblCellMar>
            <w:top w:w="0" w:type="dxa"/>
            <w:left w:w="108" w:type="dxa"/>
            <w:bottom w:w="0" w:type="dxa"/>
            <w:right w:w="108" w:type="dxa"/>
          </w:tblCellMar>
        </w:tblPrEx>
        <w:trPr>
          <w:trHeight w:val="1429"/>
          <w:jc w:val="center"/>
        </w:trPr>
        <w:tc>
          <w:tcPr>
            <w:tcW w:w="932" w:type="dxa"/>
            <w:vAlign w:val="center"/>
          </w:tcPr>
          <w:p>
            <w:pPr>
              <w:pStyle w:val="PlainText"/>
              <w:jc w:val="center"/>
              <w:rPr>
                <w:rFonts w:hAnsi="宋体" w:hint="default"/>
                <w:szCs w:val="21"/>
              </w:rPr>
            </w:pPr>
            <w:r>
              <w:rPr>
                <w:rFonts w:hAnsi="宋体"/>
                <w:szCs w:val="21"/>
              </w:rPr>
              <w:t>5</w:t>
            </w:r>
          </w:p>
        </w:tc>
        <w:tc>
          <w:tcPr>
            <w:tcW w:w="2388" w:type="dxa"/>
            <w:vAlign w:val="center"/>
          </w:tcPr>
          <w:p>
            <w:pPr>
              <w:pStyle w:val="PlainText"/>
              <w:rPr>
                <w:rFonts w:hAnsi="宋体" w:hint="default"/>
                <w:szCs w:val="21"/>
              </w:rPr>
            </w:pPr>
            <w:r>
              <w:rPr>
                <w:rFonts w:hAnsi="宋体"/>
                <w:szCs w:val="21"/>
              </w:rPr>
              <w:t>投标人资格要求</w:t>
            </w:r>
          </w:p>
        </w:tc>
        <w:tc>
          <w:tcPr>
            <w:tcW w:w="6159" w:type="dxa"/>
            <w:vAlign w:val="center"/>
          </w:tcPr>
          <w:p>
            <w:pPr>
              <w:pStyle w:val="BodyText"/>
              <w:rPr>
                <w:rFonts w:hint="default"/>
                <w:sz w:val="21"/>
                <w:szCs w:val="21"/>
                <w:shd w:val="clear" w:color="auto" w:fill="FFFFFF"/>
              </w:rPr>
            </w:pPr>
            <w:r>
              <w:rPr>
                <w:sz w:val="21"/>
                <w:szCs w:val="21"/>
                <w:shd w:val="clear" w:color="auto" w:fill="FFFFFF"/>
              </w:rPr>
              <w:t>1、供应商应具备《中华人民共和国政府采购法》第二十二条规定的基本条件，并按《中华人民共和国政府采购法实施条例》第十七条的规定提供下列证明材料备查：</w:t>
            </w:r>
          </w:p>
          <w:p>
            <w:pPr>
              <w:pStyle w:val="BodyText"/>
              <w:rPr>
                <w:rFonts w:hint="default"/>
                <w:sz w:val="21"/>
                <w:szCs w:val="21"/>
                <w:shd w:val="clear" w:color="auto" w:fill="FFFFFF"/>
              </w:rPr>
            </w:pPr>
            <w:r>
              <w:rPr>
                <w:sz w:val="21"/>
                <w:szCs w:val="21"/>
                <w:shd w:val="clear" w:color="auto" w:fill="FFFFFF"/>
              </w:rPr>
              <w:t>（1）具有独立承担民事责任的能力；</w:t>
            </w:r>
          </w:p>
          <w:p>
            <w:pPr>
              <w:pStyle w:val="BodyText"/>
              <w:rPr>
                <w:rFonts w:hint="default"/>
                <w:sz w:val="21"/>
                <w:szCs w:val="21"/>
                <w:shd w:val="clear" w:color="auto" w:fill="FFFFFF"/>
              </w:rPr>
            </w:pPr>
            <w:r>
              <w:rPr>
                <w:sz w:val="21"/>
                <w:szCs w:val="21"/>
                <w:shd w:val="clear" w:color="auto" w:fill="FFFFFF"/>
              </w:rPr>
              <w:t>（2）财务状况报告，依法缴纳税收和社会保障资金的相关材料；</w:t>
            </w:r>
          </w:p>
          <w:p>
            <w:pPr>
              <w:pStyle w:val="BodyText"/>
              <w:rPr>
                <w:rFonts w:hint="default"/>
                <w:sz w:val="21"/>
                <w:szCs w:val="21"/>
                <w:shd w:val="clear" w:color="auto" w:fill="FFFFFF"/>
              </w:rPr>
            </w:pPr>
            <w:r>
              <w:rPr>
                <w:sz w:val="21"/>
                <w:szCs w:val="21"/>
                <w:shd w:val="clear" w:color="auto" w:fill="FFFFFF"/>
              </w:rPr>
              <w:t>（3）具备履行合同所必需的专业衣物和专业技术能力和生产制造场地的证明材料；</w:t>
            </w:r>
          </w:p>
          <w:p>
            <w:pPr>
              <w:pStyle w:val="BodyText"/>
              <w:rPr>
                <w:rFonts w:hint="default"/>
                <w:sz w:val="21"/>
                <w:szCs w:val="21"/>
                <w:shd w:val="clear" w:color="auto" w:fill="FFFFFF"/>
              </w:rPr>
            </w:pPr>
            <w:r>
              <w:rPr>
                <w:sz w:val="21"/>
                <w:szCs w:val="21"/>
                <w:shd w:val="clear" w:color="auto" w:fill="FFFFFF"/>
              </w:rPr>
              <w:t>（4）参加政府采购活动前3年内，在经营活动中没有重大违法记录的书面声明；</w:t>
            </w:r>
          </w:p>
          <w:p>
            <w:pPr>
              <w:pStyle w:val="BodyText"/>
              <w:rPr>
                <w:rFonts w:hint="default"/>
                <w:sz w:val="21"/>
                <w:szCs w:val="21"/>
                <w:shd w:val="clear" w:color="auto" w:fill="FFFFFF"/>
              </w:rPr>
            </w:pPr>
            <w:r>
              <w:rPr>
                <w:sz w:val="21"/>
                <w:szCs w:val="21"/>
                <w:shd w:val="clear" w:color="auto" w:fill="FFFFFF"/>
              </w:rPr>
              <w:t xml:space="preserve">（5）按照《政府采购货物和服务招标投标管理办法》(财政部令第87号)、《财政部关于在政府采购活动中查询及使用信用记录有关问题的通知》(财库[2016]125号)相关要求，投标人应在“信用中国”网站(www.creditchina.gov.cn)未被列入失信被执行人记录、重大税收违法案件当事人名单且在中国政府采购网(www.ccgp.gov.cn)没有政府采购严重违法失信行为记录(被禁止在一定期限内参加政府采购活动但期限届满的除外)，参与本项目的投标人信用查询截止时点： 本项目招标公告发布之日起至投标截止时间，提供查询结果网页截图。 </w:t>
            </w:r>
          </w:p>
          <w:p>
            <w:pPr>
              <w:pStyle w:val="BodyText"/>
              <w:rPr>
                <w:rFonts w:hint="default"/>
                <w:sz w:val="21"/>
                <w:szCs w:val="21"/>
                <w:shd w:val="clear" w:color="auto" w:fill="FFFFFF"/>
              </w:rPr>
            </w:pPr>
            <w:r>
              <w:rPr>
                <w:sz w:val="21"/>
                <w:szCs w:val="21"/>
                <w:shd w:val="clear" w:color="auto" w:fill="FFFFFF"/>
              </w:rPr>
              <w:t xml:space="preserve">（6）投标人近三年无行贿犯罪记录，以“中国裁判文书网”查询结果为准。      </w:t>
            </w:r>
          </w:p>
          <w:p>
            <w:pPr>
              <w:pStyle w:val="BodyText"/>
              <w:rPr>
                <w:rFonts w:hint="default"/>
                <w:sz w:val="21"/>
                <w:szCs w:val="21"/>
                <w:shd w:val="clear" w:color="auto" w:fill="FFFFFF"/>
              </w:rPr>
            </w:pPr>
            <w:r>
              <w:rPr>
                <w:sz w:val="21"/>
                <w:szCs w:val="21"/>
                <w:shd w:val="clear" w:color="auto" w:fill="FFFFFF"/>
              </w:rPr>
              <w:t>2、本项目不接受联合体投标，投标人不得超出经营范围进行投标。</w:t>
            </w:r>
          </w:p>
          <w:p>
            <w:pPr>
              <w:pStyle w:val="BodyText"/>
              <w:rPr>
                <w:rFonts w:hint="default"/>
                <w:sz w:val="21"/>
                <w:szCs w:val="21"/>
                <w:shd w:val="clear" w:color="auto" w:fill="FFFFFF"/>
              </w:rPr>
            </w:pPr>
            <w:r>
              <w:rPr>
                <w:sz w:val="21"/>
                <w:szCs w:val="21"/>
                <w:shd w:val="clear" w:color="auto" w:fill="FFFFFF"/>
              </w:rPr>
              <w:t>3、本项目其他要求：</w:t>
            </w:r>
          </w:p>
          <w:p>
            <w:pPr>
              <w:pStyle w:val="BodyText"/>
              <w:rPr>
                <w:rFonts w:hint="default"/>
                <w:szCs w:val="21"/>
              </w:rPr>
            </w:pPr>
            <w:r>
              <w:rPr>
                <w:sz w:val="21"/>
                <w:szCs w:val="21"/>
                <w:highlight w:val="none"/>
                <w:shd w:val="clear" w:color="auto" w:fill="FFFFFF"/>
              </w:rPr>
              <w:t>3.1投标人需提供本单位送往第三方检测的检测依据。</w:t>
            </w:r>
          </w:p>
        </w:tc>
      </w:tr>
      <w:tr>
        <w:tblPrEx>
          <w:tblW w:w="0" w:type="auto"/>
          <w:jc w:val="center"/>
          <w:tblLayout w:type="fixed"/>
          <w:tblCellMar>
            <w:top w:w="0" w:type="dxa"/>
            <w:left w:w="108" w:type="dxa"/>
            <w:bottom w:w="0" w:type="dxa"/>
            <w:right w:w="108" w:type="dxa"/>
          </w:tblCellMar>
        </w:tblPrEx>
        <w:trPr>
          <w:cantSplit/>
          <w:trHeight w:val="408"/>
          <w:jc w:val="center"/>
        </w:trPr>
        <w:tc>
          <w:tcPr>
            <w:tcW w:w="932" w:type="dxa"/>
            <w:vAlign w:val="center"/>
          </w:tcPr>
          <w:p>
            <w:pPr>
              <w:pStyle w:val="PlainText"/>
              <w:jc w:val="center"/>
              <w:rPr>
                <w:rFonts w:hAnsi="宋体" w:hint="default"/>
                <w:szCs w:val="21"/>
              </w:rPr>
            </w:pPr>
            <w:r>
              <w:rPr>
                <w:rFonts w:hAnsi="宋体"/>
                <w:szCs w:val="21"/>
              </w:rPr>
              <w:t>6</w:t>
            </w:r>
          </w:p>
        </w:tc>
        <w:tc>
          <w:tcPr>
            <w:tcW w:w="2388" w:type="dxa"/>
            <w:vAlign w:val="center"/>
          </w:tcPr>
          <w:p>
            <w:pPr>
              <w:pStyle w:val="PlainText"/>
              <w:rPr>
                <w:rFonts w:hAnsi="宋体" w:hint="default"/>
                <w:szCs w:val="21"/>
              </w:rPr>
            </w:pPr>
            <w:r>
              <w:rPr>
                <w:rFonts w:hAnsi="宋体"/>
                <w:szCs w:val="21"/>
              </w:rPr>
              <w:t>是否接受联合体投标</w:t>
            </w:r>
          </w:p>
        </w:tc>
        <w:tc>
          <w:tcPr>
            <w:tcW w:w="6159" w:type="dxa"/>
            <w:vAlign w:val="center"/>
          </w:tcPr>
          <w:p>
            <w:pPr>
              <w:pStyle w:val="PlainText"/>
              <w:rPr>
                <w:rFonts w:hAnsi="宋体" w:hint="default"/>
                <w:szCs w:val="21"/>
              </w:rPr>
            </w:pPr>
            <w:r>
              <w:rPr>
                <w:rFonts w:hAnsi="宋体"/>
                <w:szCs w:val="21"/>
              </w:rPr>
              <w:t xml:space="preserve">  □接受  </w:t>
            </w:r>
            <w:r>
              <w:rPr>
                <w:rFonts w:hAnsi="宋体"/>
                <w:szCs w:val="21"/>
                <w:u w:val="single"/>
              </w:rPr>
              <w:t>■</w:t>
            </w:r>
            <w:r>
              <w:rPr>
                <w:rFonts w:hAnsi="宋体"/>
                <w:szCs w:val="21"/>
              </w:rPr>
              <w:t xml:space="preserve">不接受  </w:t>
            </w:r>
          </w:p>
        </w:tc>
      </w:tr>
      <w:tr>
        <w:tblPrEx>
          <w:tblW w:w="0" w:type="auto"/>
          <w:jc w:val="center"/>
          <w:tblLayout w:type="fixed"/>
          <w:tblCellMar>
            <w:top w:w="0" w:type="dxa"/>
            <w:left w:w="108" w:type="dxa"/>
            <w:bottom w:w="0" w:type="dxa"/>
            <w:right w:w="108" w:type="dxa"/>
          </w:tblCellMar>
        </w:tblPrEx>
        <w:trPr>
          <w:cantSplit/>
          <w:trHeight w:val="549"/>
          <w:jc w:val="center"/>
        </w:trPr>
        <w:tc>
          <w:tcPr>
            <w:tcW w:w="932" w:type="dxa"/>
            <w:vAlign w:val="center"/>
          </w:tcPr>
          <w:p>
            <w:pPr>
              <w:pStyle w:val="PlainText"/>
              <w:jc w:val="center"/>
              <w:rPr>
                <w:rFonts w:hAnsi="宋体" w:hint="default"/>
                <w:szCs w:val="21"/>
              </w:rPr>
            </w:pPr>
            <w:r>
              <w:rPr>
                <w:rFonts w:hAnsi="宋体"/>
                <w:szCs w:val="21"/>
              </w:rPr>
              <w:t>7</w:t>
            </w:r>
          </w:p>
        </w:tc>
        <w:tc>
          <w:tcPr>
            <w:tcW w:w="2388" w:type="dxa"/>
            <w:vAlign w:val="center"/>
          </w:tcPr>
          <w:p>
            <w:pPr>
              <w:snapToGrid w:val="0"/>
              <w:textAlignment w:val="bottom"/>
              <w:rPr>
                <w:rFonts w:ascii="宋体" w:hAnsi="宋体" w:hint="default"/>
                <w:szCs w:val="21"/>
              </w:rPr>
            </w:pPr>
            <w:r>
              <w:rPr>
                <w:rFonts w:ascii="宋体" w:hAnsi="宋体"/>
                <w:szCs w:val="21"/>
              </w:rPr>
              <w:t>招标文件澄清截止时间</w:t>
            </w:r>
          </w:p>
        </w:tc>
        <w:tc>
          <w:tcPr>
            <w:tcW w:w="6159" w:type="dxa"/>
            <w:vAlign w:val="center"/>
          </w:tcPr>
          <w:p>
            <w:pPr>
              <w:pStyle w:val="PlainText"/>
              <w:rPr>
                <w:rFonts w:hAnsi="宋体" w:hint="default"/>
                <w:bCs/>
                <w:szCs w:val="21"/>
              </w:rPr>
            </w:pPr>
            <w:r>
              <w:rPr>
                <w:rFonts w:hAnsi="宋体"/>
              </w:rPr>
              <w:t>提交投标文件截止时间15日前</w:t>
            </w:r>
          </w:p>
        </w:tc>
      </w:tr>
      <w:tr>
        <w:tblPrEx>
          <w:tblW w:w="0" w:type="auto"/>
          <w:jc w:val="center"/>
          <w:tblLayout w:type="fixed"/>
          <w:tblCellMar>
            <w:top w:w="0" w:type="dxa"/>
            <w:left w:w="108" w:type="dxa"/>
            <w:bottom w:w="0" w:type="dxa"/>
            <w:right w:w="108" w:type="dxa"/>
          </w:tblCellMar>
        </w:tblPrEx>
        <w:trPr>
          <w:cantSplit/>
          <w:trHeight w:val="1458"/>
          <w:jc w:val="center"/>
        </w:trPr>
        <w:tc>
          <w:tcPr>
            <w:tcW w:w="932" w:type="dxa"/>
            <w:vAlign w:val="center"/>
          </w:tcPr>
          <w:p>
            <w:pPr>
              <w:pStyle w:val="PlainText"/>
              <w:jc w:val="center"/>
              <w:rPr>
                <w:rFonts w:hAnsi="宋体" w:hint="default"/>
                <w:szCs w:val="21"/>
              </w:rPr>
            </w:pPr>
            <w:r>
              <w:rPr>
                <w:rFonts w:hAnsi="宋体"/>
                <w:szCs w:val="21"/>
              </w:rPr>
              <w:t>8</w:t>
            </w:r>
          </w:p>
        </w:tc>
        <w:tc>
          <w:tcPr>
            <w:tcW w:w="2388" w:type="dxa"/>
            <w:vAlign w:val="center"/>
          </w:tcPr>
          <w:p>
            <w:pPr>
              <w:pStyle w:val="PlainText"/>
              <w:rPr>
                <w:rFonts w:hAnsi="宋体" w:hint="default"/>
                <w:szCs w:val="21"/>
              </w:rPr>
            </w:pPr>
            <w:r>
              <w:rPr>
                <w:rFonts w:hAnsi="宋体"/>
                <w:szCs w:val="21"/>
              </w:rPr>
              <w:t>构成投标文件的其他资料</w:t>
            </w:r>
          </w:p>
        </w:tc>
        <w:tc>
          <w:tcPr>
            <w:tcW w:w="6159" w:type="dxa"/>
            <w:vAlign w:val="center"/>
          </w:tcPr>
          <w:p>
            <w:pPr>
              <w:snapToGrid w:val="0"/>
              <w:textAlignment w:val="bottom"/>
              <w:rPr>
                <w:rFonts w:ascii="宋体" w:hAnsi="宋体" w:hint="default"/>
                <w:bCs/>
                <w:color w:val="000000"/>
                <w:szCs w:val="21"/>
              </w:rPr>
            </w:pPr>
            <w:r>
              <w:rPr>
                <w:rFonts w:ascii="宋体" w:hAnsi="宋体"/>
                <w:bCs/>
                <w:color w:val="000000"/>
                <w:szCs w:val="21"/>
              </w:rPr>
              <w:t>1、提供的产品必须是全新的、符合招标文件所规定的技术参数；</w:t>
            </w:r>
          </w:p>
          <w:p>
            <w:pPr>
              <w:snapToGrid w:val="0"/>
              <w:textAlignment w:val="bottom"/>
              <w:rPr>
                <w:rFonts w:ascii="宋体" w:hAnsi="宋体" w:hint="default"/>
                <w:color w:val="000000"/>
                <w:szCs w:val="21"/>
              </w:rPr>
            </w:pPr>
            <w:r>
              <w:rPr>
                <w:rFonts w:ascii="宋体" w:hAnsi="宋体"/>
                <w:color w:val="000000"/>
                <w:szCs w:val="21"/>
              </w:rPr>
              <w:t>2、</w:t>
            </w:r>
            <w:r>
              <w:rPr>
                <w:rFonts w:ascii="宋体" w:hAnsi="宋体"/>
                <w:bCs/>
                <w:color w:val="000000"/>
                <w:szCs w:val="21"/>
              </w:rPr>
              <w:t>售后服务承诺函；</w:t>
            </w:r>
          </w:p>
          <w:p>
            <w:pPr>
              <w:snapToGrid w:val="0"/>
              <w:textAlignment w:val="bottom"/>
              <w:rPr>
                <w:rFonts w:ascii="宋体" w:hAnsi="宋体" w:hint="default"/>
                <w:bCs/>
                <w:szCs w:val="21"/>
              </w:rPr>
            </w:pPr>
            <w:r>
              <w:rPr>
                <w:rFonts w:ascii="宋体" w:hAnsi="宋体"/>
                <w:bCs/>
                <w:color w:val="000000"/>
                <w:szCs w:val="21"/>
              </w:rPr>
              <w:t>3、招标文件中所涉及到的相关资料及证明文件或投标人认为必须提供的其他相关资料，</w:t>
            </w:r>
            <w:r>
              <w:rPr>
                <w:rFonts w:ascii="宋体" w:hAnsi="宋体"/>
                <w:color w:val="000000"/>
                <w:szCs w:val="21"/>
              </w:rPr>
              <w:t>评标委员会应根据招标文件规定，</w:t>
            </w:r>
            <w:r>
              <w:rPr>
                <w:rFonts w:ascii="宋体" w:hAnsi="宋体"/>
                <w:bCs/>
                <w:color w:val="000000"/>
                <w:szCs w:val="21"/>
              </w:rPr>
              <w:t>优先推荐节能环保产品；</w:t>
            </w:r>
          </w:p>
        </w:tc>
      </w:tr>
      <w:tr>
        <w:tblPrEx>
          <w:tblW w:w="0" w:type="auto"/>
          <w:jc w:val="center"/>
          <w:tblLayout w:type="fixed"/>
          <w:tblCellMar>
            <w:top w:w="0" w:type="dxa"/>
            <w:left w:w="108" w:type="dxa"/>
            <w:bottom w:w="0" w:type="dxa"/>
            <w:right w:w="108" w:type="dxa"/>
          </w:tblCellMar>
        </w:tblPrEx>
        <w:trPr>
          <w:trHeight w:val="590"/>
          <w:jc w:val="center"/>
        </w:trPr>
        <w:tc>
          <w:tcPr>
            <w:tcW w:w="932" w:type="dxa"/>
            <w:vAlign w:val="center"/>
          </w:tcPr>
          <w:p>
            <w:pPr>
              <w:pStyle w:val="PlainText"/>
              <w:jc w:val="center"/>
              <w:rPr>
                <w:rFonts w:hAnsi="宋体" w:hint="default"/>
                <w:szCs w:val="21"/>
              </w:rPr>
            </w:pPr>
            <w:r>
              <w:rPr>
                <w:rFonts w:hAnsi="宋体"/>
                <w:szCs w:val="21"/>
              </w:rPr>
              <w:t>9</w:t>
            </w:r>
          </w:p>
        </w:tc>
        <w:tc>
          <w:tcPr>
            <w:tcW w:w="2388" w:type="dxa"/>
            <w:vAlign w:val="center"/>
          </w:tcPr>
          <w:p>
            <w:pPr>
              <w:pStyle w:val="PlainText"/>
              <w:rPr>
                <w:rFonts w:hAnsi="宋体" w:hint="default"/>
                <w:szCs w:val="21"/>
              </w:rPr>
            </w:pPr>
            <w:r>
              <w:rPr>
                <w:rFonts w:hAnsi="宋体"/>
                <w:szCs w:val="21"/>
              </w:rPr>
              <w:t>备品备件</w:t>
            </w:r>
          </w:p>
        </w:tc>
        <w:tc>
          <w:tcPr>
            <w:tcW w:w="6159" w:type="dxa"/>
            <w:vAlign w:val="center"/>
          </w:tcPr>
          <w:p>
            <w:pPr>
              <w:spacing w:line="360" w:lineRule="auto"/>
              <w:rPr>
                <w:rFonts w:ascii="宋体" w:hAnsi="宋体" w:hint="default"/>
                <w:szCs w:val="21"/>
              </w:rPr>
            </w:pPr>
            <w:r>
              <w:rPr>
                <w:rFonts w:ascii="宋体" w:hAnsi="宋体"/>
                <w:szCs w:val="21"/>
              </w:rPr>
              <w:t>□要求</w:t>
            </w:r>
          </w:p>
          <w:p>
            <w:pPr>
              <w:spacing w:line="360" w:lineRule="auto"/>
              <w:rPr>
                <w:rFonts w:ascii="宋体" w:hAnsi="宋体" w:hint="default"/>
                <w:szCs w:val="21"/>
              </w:rPr>
            </w:pPr>
            <w:r>
              <w:rPr>
                <w:rFonts w:ascii="宋体" w:hAnsi="宋体"/>
                <w:szCs w:val="21"/>
              </w:rPr>
              <w:t>■不要求</w:t>
            </w:r>
          </w:p>
        </w:tc>
      </w:tr>
      <w:tr>
        <w:tblPrEx>
          <w:tblW w:w="0" w:type="auto"/>
          <w:jc w:val="center"/>
          <w:tblLayout w:type="fixed"/>
          <w:tblCellMar>
            <w:top w:w="0" w:type="dxa"/>
            <w:left w:w="108" w:type="dxa"/>
            <w:bottom w:w="0" w:type="dxa"/>
            <w:right w:w="108" w:type="dxa"/>
          </w:tblCellMar>
        </w:tblPrEx>
        <w:trPr>
          <w:trHeight w:val="90"/>
          <w:jc w:val="center"/>
        </w:trPr>
        <w:tc>
          <w:tcPr>
            <w:tcW w:w="932" w:type="dxa"/>
            <w:vAlign w:val="center"/>
          </w:tcPr>
          <w:p>
            <w:pPr>
              <w:pStyle w:val="PlainText"/>
              <w:jc w:val="center"/>
              <w:rPr>
                <w:rFonts w:hAnsi="宋体" w:hint="default"/>
                <w:szCs w:val="21"/>
              </w:rPr>
            </w:pPr>
            <w:r>
              <w:rPr>
                <w:rFonts w:hAnsi="宋体"/>
                <w:szCs w:val="21"/>
              </w:rPr>
              <w:t>10</w:t>
            </w:r>
          </w:p>
        </w:tc>
        <w:tc>
          <w:tcPr>
            <w:tcW w:w="2388" w:type="dxa"/>
            <w:vAlign w:val="center"/>
          </w:tcPr>
          <w:p>
            <w:pPr>
              <w:pStyle w:val="PlainText"/>
              <w:rPr>
                <w:rFonts w:hAnsi="宋体" w:hint="default"/>
                <w:szCs w:val="21"/>
              </w:rPr>
            </w:pPr>
            <w:r>
              <w:rPr>
                <w:rFonts w:hAnsi="宋体"/>
                <w:szCs w:val="21"/>
              </w:rPr>
              <w:t>质量保证</w:t>
            </w:r>
          </w:p>
        </w:tc>
        <w:tc>
          <w:tcPr>
            <w:tcW w:w="6159" w:type="dxa"/>
            <w:vAlign w:val="center"/>
          </w:tcPr>
          <w:p>
            <w:pPr>
              <w:snapToGrid w:val="0"/>
              <w:textAlignment w:val="bottom"/>
              <w:rPr>
                <w:rFonts w:ascii="宋体" w:hAnsi="宋体" w:hint="default"/>
                <w:szCs w:val="21"/>
              </w:rPr>
            </w:pPr>
            <w:r>
              <w:rPr>
                <w:rFonts w:ascii="宋体" w:hAnsi="宋体"/>
                <w:szCs w:val="21"/>
              </w:rPr>
              <w:t>■要求服务一年</w:t>
            </w:r>
          </w:p>
          <w:p>
            <w:pPr>
              <w:snapToGrid w:val="0"/>
              <w:textAlignment w:val="bottom"/>
              <w:rPr>
                <w:rFonts w:ascii="宋体" w:hAnsi="宋体" w:hint="default"/>
                <w:b/>
                <w:szCs w:val="21"/>
              </w:rPr>
            </w:pPr>
            <w:r>
              <w:rPr>
                <w:rFonts w:ascii="宋体" w:hAnsi="宋体"/>
                <w:szCs w:val="21"/>
              </w:rPr>
              <w:t>□不要求</w:t>
            </w:r>
          </w:p>
        </w:tc>
      </w:tr>
      <w:tr>
        <w:tblPrEx>
          <w:tblW w:w="0" w:type="auto"/>
          <w:jc w:val="center"/>
          <w:tblLayout w:type="fixed"/>
          <w:tblCellMar>
            <w:top w:w="0" w:type="dxa"/>
            <w:left w:w="108" w:type="dxa"/>
            <w:bottom w:w="0" w:type="dxa"/>
            <w:right w:w="108" w:type="dxa"/>
          </w:tblCellMar>
        </w:tblPrEx>
        <w:trPr>
          <w:trHeight w:val="251"/>
          <w:jc w:val="center"/>
        </w:trPr>
        <w:tc>
          <w:tcPr>
            <w:tcW w:w="932" w:type="dxa"/>
            <w:vAlign w:val="center"/>
          </w:tcPr>
          <w:p>
            <w:pPr>
              <w:pStyle w:val="PlainText"/>
              <w:jc w:val="center"/>
              <w:rPr>
                <w:rFonts w:hAnsi="宋体" w:hint="default"/>
                <w:szCs w:val="21"/>
              </w:rPr>
            </w:pPr>
            <w:r>
              <w:rPr>
                <w:rFonts w:hAnsi="宋体"/>
                <w:szCs w:val="21"/>
              </w:rPr>
              <w:t>11</w:t>
            </w:r>
          </w:p>
        </w:tc>
        <w:tc>
          <w:tcPr>
            <w:tcW w:w="2388" w:type="dxa"/>
            <w:vAlign w:val="center"/>
          </w:tcPr>
          <w:p>
            <w:pPr>
              <w:pStyle w:val="PlainText"/>
              <w:rPr>
                <w:rFonts w:hAnsi="宋体" w:hint="default"/>
                <w:szCs w:val="21"/>
              </w:rPr>
            </w:pPr>
            <w:r>
              <w:rPr>
                <w:rFonts w:hAnsi="宋体"/>
                <w:szCs w:val="21"/>
              </w:rPr>
              <w:t>投标文件有效期</w:t>
            </w:r>
          </w:p>
        </w:tc>
        <w:tc>
          <w:tcPr>
            <w:tcW w:w="6159" w:type="dxa"/>
            <w:vAlign w:val="center"/>
          </w:tcPr>
          <w:p>
            <w:pPr>
              <w:pStyle w:val="PlainText"/>
              <w:rPr>
                <w:rFonts w:hAnsi="宋体" w:hint="default"/>
                <w:szCs w:val="21"/>
              </w:rPr>
            </w:pPr>
            <w:r>
              <w:rPr>
                <w:rFonts w:hAnsi="宋体"/>
                <w:szCs w:val="21"/>
              </w:rPr>
              <w:t>从提交投标文件截止之日起</w:t>
            </w:r>
            <w:r>
              <w:rPr>
                <w:rFonts w:hAnsi="宋体"/>
                <w:szCs w:val="21"/>
                <w:u w:val="single"/>
              </w:rPr>
              <w:t>90</w:t>
            </w:r>
            <w:r>
              <w:rPr>
                <w:rFonts w:hAnsi="宋体"/>
                <w:szCs w:val="21"/>
              </w:rPr>
              <w:t>日历天</w:t>
            </w:r>
          </w:p>
        </w:tc>
      </w:tr>
      <w:tr>
        <w:tblPrEx>
          <w:tblW w:w="0" w:type="auto"/>
          <w:jc w:val="center"/>
          <w:tblLayout w:type="fixed"/>
          <w:tblCellMar>
            <w:top w:w="0" w:type="dxa"/>
            <w:left w:w="108" w:type="dxa"/>
            <w:bottom w:w="0" w:type="dxa"/>
            <w:right w:w="108" w:type="dxa"/>
          </w:tblCellMar>
        </w:tblPrEx>
        <w:trPr>
          <w:trHeight w:val="251"/>
          <w:jc w:val="center"/>
        </w:trPr>
        <w:tc>
          <w:tcPr>
            <w:tcW w:w="932" w:type="dxa"/>
            <w:vMerge w:val="restart"/>
            <w:vAlign w:val="center"/>
          </w:tcPr>
          <w:p>
            <w:pPr>
              <w:pStyle w:val="PlainText"/>
              <w:jc w:val="center"/>
              <w:rPr>
                <w:rFonts w:hAnsi="宋体" w:hint="default"/>
                <w:szCs w:val="21"/>
              </w:rPr>
            </w:pPr>
            <w:r>
              <w:rPr>
                <w:rFonts w:hAnsi="宋体"/>
                <w:szCs w:val="21"/>
              </w:rPr>
              <w:t>12</w:t>
            </w:r>
          </w:p>
        </w:tc>
        <w:tc>
          <w:tcPr>
            <w:tcW w:w="2388" w:type="dxa"/>
            <w:vAlign w:val="center"/>
          </w:tcPr>
          <w:p>
            <w:pPr>
              <w:pStyle w:val="PlainText"/>
              <w:rPr>
                <w:rFonts w:hAnsi="宋体" w:hint="default"/>
                <w:color w:val="000000"/>
                <w:szCs w:val="21"/>
              </w:rPr>
            </w:pPr>
            <w:r>
              <w:rPr>
                <w:rFonts w:hAnsi="宋体"/>
                <w:color w:val="000000"/>
                <w:szCs w:val="21"/>
              </w:rPr>
              <w:t>投标文件份数</w:t>
            </w:r>
          </w:p>
        </w:tc>
        <w:tc>
          <w:tcPr>
            <w:tcW w:w="6159" w:type="dxa"/>
            <w:vAlign w:val="center"/>
          </w:tcPr>
          <w:p>
            <w:pPr>
              <w:pStyle w:val="PlainText"/>
              <w:numPr>
                <w:ilvl w:val="0"/>
                <w:numId w:val="2"/>
              </w:numPr>
              <w:rPr>
                <w:rFonts w:hAnsi="宋体" w:hint="default"/>
                <w:b/>
                <w:bCs/>
                <w:color w:val="000000"/>
                <w:szCs w:val="21"/>
              </w:rPr>
            </w:pPr>
            <w:r>
              <w:rPr>
                <w:rFonts w:hAnsi="宋体"/>
                <w:b/>
                <w:bCs/>
                <w:color w:val="000000"/>
                <w:szCs w:val="21"/>
              </w:rPr>
              <w:t>电子投标文件（光盘）一份</w:t>
            </w:r>
          </w:p>
          <w:p>
            <w:pPr>
              <w:pStyle w:val="PlainText"/>
              <w:numPr>
                <w:ilvl w:val="0"/>
                <w:numId w:val="2"/>
              </w:numPr>
              <w:rPr>
                <w:rFonts w:hAnsi="宋体" w:hint="default"/>
                <w:b/>
                <w:bCs/>
                <w:color w:val="000000"/>
                <w:szCs w:val="21"/>
              </w:rPr>
            </w:pPr>
            <w:r>
              <w:rPr>
                <w:rFonts w:hAnsi="宋体"/>
                <w:b/>
                <w:bCs/>
                <w:color w:val="000000"/>
                <w:szCs w:val="21"/>
              </w:rPr>
              <w:t>响应人须登录怒江州公共资源交易电子服务系统，在响应截止时间前完成所有电子响应文件的上传，网上确认电子签名和电子签章，并打印“上传响应文件回执”（开标前递交工作人员），响应截止时间前未完成响应文件传输的，视为撤回响应文件。</w:t>
            </w:r>
          </w:p>
        </w:tc>
      </w:tr>
      <w:tr>
        <w:tblPrEx>
          <w:tblW w:w="0" w:type="auto"/>
          <w:jc w:val="center"/>
          <w:tblLayout w:type="fixed"/>
          <w:tblCellMar>
            <w:top w:w="0" w:type="dxa"/>
            <w:left w:w="108" w:type="dxa"/>
            <w:bottom w:w="0" w:type="dxa"/>
            <w:right w:w="108" w:type="dxa"/>
          </w:tblCellMar>
        </w:tblPrEx>
        <w:trPr>
          <w:trHeight w:val="251"/>
          <w:jc w:val="center"/>
        </w:trPr>
        <w:tc>
          <w:tcPr>
            <w:tcW w:w="932" w:type="dxa"/>
            <w:vMerge/>
            <w:vAlign w:val="center"/>
          </w:tcPr>
          <w:p>
            <w:pPr>
              <w:pStyle w:val="PlainText"/>
              <w:jc w:val="center"/>
              <w:rPr>
                <w:rFonts w:hAnsi="宋体"/>
                <w:szCs w:val="21"/>
              </w:rPr>
            </w:pPr>
          </w:p>
        </w:tc>
        <w:tc>
          <w:tcPr>
            <w:tcW w:w="2388" w:type="dxa"/>
            <w:vAlign w:val="center"/>
          </w:tcPr>
          <w:p>
            <w:pPr>
              <w:pStyle w:val="PlainText"/>
              <w:rPr>
                <w:rFonts w:eastAsia="宋体" w:hAnsi="宋体" w:hint="default"/>
                <w:color w:val="000000"/>
                <w:szCs w:val="21"/>
                <w:lang w:val="en-US" w:eastAsia="zh-CN"/>
              </w:rPr>
            </w:pPr>
            <w:r>
              <w:rPr>
                <w:rFonts w:hAnsi="宋体" w:hint="eastAsia"/>
                <w:color w:val="000000"/>
                <w:szCs w:val="21"/>
                <w:lang w:val="en-US" w:eastAsia="zh-CN"/>
              </w:rPr>
              <w:t>投标文件签字和盖章要求</w:t>
            </w:r>
          </w:p>
        </w:tc>
        <w:tc>
          <w:tcPr>
            <w:tcW w:w="6159" w:type="dxa"/>
            <w:vAlign w:val="center"/>
          </w:tcPr>
          <w:p>
            <w:pPr>
              <w:pStyle w:val="PlainText"/>
              <w:numPr>
                <w:ilvl w:val="0"/>
                <w:numId w:val="0"/>
              </w:numPr>
              <w:rPr>
                <w:rFonts w:ascii="黑体" w:eastAsia="黑体" w:hAnsi="黑体" w:hint="default"/>
                <w:b/>
                <w:color w:val="000000" w:themeColor="text1"/>
                <w:sz w:val="21"/>
                <w:szCs w:val="21"/>
                <w14:textFill>
                  <w14:solidFill>
                    <w14:schemeClr w14:val="tx1"/>
                  </w14:solidFill>
                </w14:textFill>
              </w:rPr>
            </w:pPr>
            <w:r>
              <w:rPr>
                <w:rFonts w:ascii="黑体" w:eastAsia="黑体" w:hAnsi="黑体" w:hint="eastAsia"/>
                <w:b/>
                <w:color w:val="000000" w:themeColor="text1"/>
                <w:sz w:val="21"/>
                <w:szCs w:val="21"/>
                <w14:textFill>
                  <w14:solidFill>
                    <w14:schemeClr w14:val="tx1"/>
                  </w14:solidFill>
                </w14:textFill>
              </w:rPr>
              <w:t>电子投标文件采用单位和法定代表人数字证书电子签章及电子签名。按照投标文件格式在需要电子签章和签名的地方进行电子签章和签名，无需逐页电子签章或签名</w:t>
            </w:r>
          </w:p>
        </w:tc>
      </w:tr>
      <w:tr>
        <w:tblPrEx>
          <w:tblW w:w="0" w:type="auto"/>
          <w:jc w:val="center"/>
          <w:tblLayout w:type="fixed"/>
          <w:tblCellMar>
            <w:top w:w="0" w:type="dxa"/>
            <w:left w:w="108" w:type="dxa"/>
            <w:bottom w:w="0" w:type="dxa"/>
            <w:right w:w="108" w:type="dxa"/>
          </w:tblCellMar>
        </w:tblPrEx>
        <w:trPr>
          <w:trHeight w:val="251"/>
          <w:jc w:val="center"/>
        </w:trPr>
        <w:tc>
          <w:tcPr>
            <w:tcW w:w="932" w:type="dxa"/>
            <w:vMerge/>
            <w:vAlign w:val="center"/>
          </w:tcPr>
          <w:p>
            <w:pPr>
              <w:pStyle w:val="PlainText"/>
              <w:jc w:val="center"/>
              <w:rPr>
                <w:rFonts w:hAnsi="宋体"/>
                <w:szCs w:val="21"/>
              </w:rPr>
            </w:pPr>
          </w:p>
        </w:tc>
        <w:tc>
          <w:tcPr>
            <w:tcW w:w="2388" w:type="dxa"/>
            <w:vAlign w:val="center"/>
          </w:tcPr>
          <w:p>
            <w:pPr>
              <w:pStyle w:val="PlainText"/>
              <w:rPr>
                <w:rFonts w:hAnsi="宋体" w:hint="eastAsia"/>
                <w:color w:val="000000"/>
                <w:szCs w:val="21"/>
                <w:lang w:val="en-US" w:eastAsia="zh-CN"/>
              </w:rPr>
            </w:pPr>
            <w:r>
              <w:rPr>
                <w:rFonts w:ascii="宋体" w:hAnsi="宋体" w:cs="Arial" w:hint="eastAsia"/>
                <w:color w:val="000000" w:themeColor="text1"/>
                <w:kern w:val="0"/>
                <w:sz w:val="21"/>
                <w:szCs w:val="21"/>
                <w14:textFill>
                  <w14:solidFill>
                    <w14:schemeClr w14:val="tx1"/>
                  </w14:solidFill>
                </w14:textFill>
              </w:rPr>
              <w:t>投标文件的密封和标记</w:t>
            </w:r>
          </w:p>
        </w:tc>
        <w:tc>
          <w:tcPr>
            <w:tcW w:w="6159" w:type="dxa"/>
            <w:vAlign w:val="center"/>
          </w:tcPr>
          <w:p>
            <w:pPr>
              <w:pStyle w:val="BodyTextIndent3"/>
              <w:numPr>
                <w:ilvl w:val="0"/>
                <w:numId w:val="0"/>
              </w:numPr>
              <w:spacing w:line="340" w:lineRule="exact"/>
              <w:rPr>
                <w:rFonts w:ascii="黑体" w:eastAsia="黑体" w:hAnsi="黑体" w:cs="Arial"/>
                <w:b/>
                <w:color w:val="000000" w:themeColor="text1"/>
                <w:kern w:val="0"/>
                <w:sz w:val="21"/>
                <w:szCs w:val="21"/>
                <w14:textFill>
                  <w14:solidFill>
                    <w14:schemeClr w14:val="tx1"/>
                  </w14:solidFill>
                </w14:textFill>
              </w:rPr>
            </w:pPr>
            <w:r>
              <w:rPr>
                <w:rFonts w:ascii="黑体" w:eastAsia="黑体" w:hAnsi="黑体" w:cs="Arial" w:hint="eastAsia"/>
                <w:b/>
                <w:color w:val="000000" w:themeColor="text1"/>
                <w:kern w:val="0"/>
                <w:sz w:val="21"/>
                <w:szCs w:val="21"/>
                <w:lang w:val="en-US" w:eastAsia="zh-CN"/>
                <w14:textFill>
                  <w14:solidFill>
                    <w14:schemeClr w14:val="tx1"/>
                  </w14:solidFill>
                </w14:textFill>
              </w:rPr>
              <w:t>1、</w:t>
            </w:r>
            <w:r>
              <w:rPr>
                <w:rFonts w:ascii="黑体" w:eastAsia="黑体" w:hAnsi="黑体" w:cs="Arial" w:hint="eastAsia"/>
                <w:b/>
                <w:color w:val="000000" w:themeColor="text1"/>
                <w:kern w:val="0"/>
                <w:sz w:val="21"/>
                <w:szCs w:val="21"/>
                <w14:textFill>
                  <w14:solidFill>
                    <w14:schemeClr w14:val="tx1"/>
                  </w14:solidFill>
                </w14:textFill>
              </w:rPr>
              <w:t>网上递交的投标文件需要对投标文件进行加密。</w:t>
            </w:r>
          </w:p>
          <w:p>
            <w:pPr>
              <w:pStyle w:val="PlainText"/>
              <w:numPr>
                <w:ilvl w:val="0"/>
                <w:numId w:val="0"/>
              </w:numPr>
              <w:rPr>
                <w:rFonts w:ascii="黑体" w:eastAsia="黑体" w:hAnsi="黑体" w:hint="default"/>
                <w:b/>
                <w:color w:val="000000" w:themeColor="text1"/>
                <w:sz w:val="21"/>
                <w:szCs w:val="21"/>
                <w14:textFill>
                  <w14:solidFill>
                    <w14:schemeClr w14:val="tx1"/>
                  </w14:solidFill>
                </w14:textFill>
              </w:rPr>
            </w:pPr>
            <w:r>
              <w:rPr>
                <w:rFonts w:ascii="黑体" w:eastAsia="黑体" w:hAnsi="黑体" w:cs="Arial" w:hint="eastAsia"/>
                <w:b/>
                <w:color w:val="000000" w:themeColor="text1"/>
                <w:kern w:val="0"/>
                <w:sz w:val="21"/>
                <w:szCs w:val="21"/>
                <w:lang w:val="en-US" w:eastAsia="zh-CN"/>
                <w14:textFill>
                  <w14:solidFill>
                    <w14:schemeClr w14:val="tx1"/>
                  </w14:solidFill>
                </w14:textFill>
              </w:rPr>
              <w:t>2、</w:t>
            </w:r>
            <w:r>
              <w:rPr>
                <w:rFonts w:ascii="黑体" w:eastAsia="黑体" w:hAnsi="黑体" w:cs="Arial" w:hint="eastAsia"/>
                <w:b/>
                <w:color w:val="000000" w:themeColor="text1"/>
                <w:kern w:val="0"/>
                <w:sz w:val="21"/>
                <w:szCs w:val="21"/>
                <w14:textFill>
                  <w14:solidFill>
                    <w14:schemeClr w14:val="tx1"/>
                  </w14:solidFill>
                </w14:textFill>
              </w:rPr>
              <w:t>电子光盘密封：将刻录好的投标文件光盘密封在密封袋中，在封口处加盖投标人单位章（鲜章）。不要在光盘盘面上粘贴标签，应使用记号笔在盘面上标注单位名称。</w:t>
            </w:r>
          </w:p>
        </w:tc>
      </w:tr>
      <w:tr>
        <w:tblPrEx>
          <w:tblW w:w="0" w:type="auto"/>
          <w:jc w:val="center"/>
          <w:tblLayout w:type="fixed"/>
          <w:tblCellMar>
            <w:top w:w="0" w:type="dxa"/>
            <w:left w:w="108" w:type="dxa"/>
            <w:bottom w:w="0" w:type="dxa"/>
            <w:right w:w="108" w:type="dxa"/>
          </w:tblCellMar>
        </w:tblPrEx>
        <w:trPr>
          <w:trHeight w:val="338"/>
          <w:jc w:val="center"/>
        </w:trPr>
        <w:tc>
          <w:tcPr>
            <w:tcW w:w="932" w:type="dxa"/>
            <w:vAlign w:val="center"/>
          </w:tcPr>
          <w:p>
            <w:pPr>
              <w:pStyle w:val="PlainText"/>
              <w:jc w:val="center"/>
              <w:rPr>
                <w:rFonts w:hAnsi="宋体" w:hint="default"/>
                <w:szCs w:val="21"/>
              </w:rPr>
            </w:pPr>
            <w:r>
              <w:rPr>
                <w:rFonts w:hAnsi="宋体"/>
                <w:szCs w:val="21"/>
              </w:rPr>
              <w:t>13</w:t>
            </w:r>
          </w:p>
        </w:tc>
        <w:tc>
          <w:tcPr>
            <w:tcW w:w="2388" w:type="dxa"/>
            <w:vAlign w:val="center"/>
          </w:tcPr>
          <w:p>
            <w:pPr>
              <w:pStyle w:val="PlainText"/>
              <w:rPr>
                <w:rFonts w:hAnsi="宋体" w:hint="default"/>
                <w:szCs w:val="21"/>
              </w:rPr>
            </w:pPr>
            <w:r>
              <w:rPr>
                <w:rFonts w:hAnsi="宋体"/>
                <w:szCs w:val="21"/>
              </w:rPr>
              <w:t>投标保证金</w:t>
            </w:r>
          </w:p>
        </w:tc>
        <w:tc>
          <w:tcPr>
            <w:tcW w:w="6159" w:type="dxa"/>
            <w:vAlign w:val="center"/>
          </w:tcPr>
          <w:p>
            <w:pPr>
              <w:pStyle w:val="TableParagraph"/>
              <w:kinsoku w:val="0"/>
              <w:overflowPunct w:val="0"/>
              <w:spacing w:before="5"/>
              <w:rPr>
                <w:rFonts w:hint="default"/>
                <w:sz w:val="22"/>
                <w:szCs w:val="18"/>
              </w:rPr>
            </w:pPr>
            <w:r>
              <w:rPr>
                <w:sz w:val="22"/>
                <w:szCs w:val="18"/>
              </w:rPr>
              <w:t>1、保证金缴纳方式：转账、保函</w:t>
            </w:r>
          </w:p>
          <w:p>
            <w:pPr>
              <w:pStyle w:val="TableParagraph"/>
              <w:kinsoku w:val="0"/>
              <w:overflowPunct w:val="0"/>
              <w:spacing w:before="5"/>
              <w:rPr>
                <w:rFonts w:hint="default"/>
                <w:sz w:val="22"/>
                <w:szCs w:val="18"/>
              </w:rPr>
            </w:pPr>
            <w:r>
              <w:rPr>
                <w:sz w:val="22"/>
                <w:szCs w:val="18"/>
              </w:rPr>
              <w:t>2、保证金缴纳金额：大写：柒万伍仟元整；小写：75000.00元（2%以内）</w:t>
            </w:r>
          </w:p>
          <w:p>
            <w:pPr>
              <w:pStyle w:val="TableParagraph"/>
              <w:kinsoku w:val="0"/>
              <w:overflowPunct w:val="0"/>
              <w:spacing w:before="5"/>
              <w:rPr>
                <w:rFonts w:hint="default"/>
                <w:sz w:val="22"/>
                <w:szCs w:val="18"/>
              </w:rPr>
            </w:pPr>
            <w:r>
              <w:rPr>
                <w:sz w:val="22"/>
                <w:szCs w:val="18"/>
              </w:rPr>
              <w:t>3、保证金缴纳流程：保证金缴纳流程：投标人（供应商）按规定数额银行转账后，用机构数字证书登录怒江州公共资源交易电子化平台保证金系统手动绑定并打印绑定回执，缴纳但无法绑定的，申请纠错，福贡县公共资源交易中心业务人员受理后，自动绑定，绑定后自行打印绑定回执。银行保函：保函申请人必须是投标人，受益人必须是投标人，保证人必须是投标人基本账号的开户银行；银行保函必须正确填写受益人和申请人的全称，并与招标文件规定的名称相一致，以免造成投标无效。具体操作流程详见怒江州公共资源交易电子化平台保证金系统操作手册（已上传到平台“学习园地”一栏，请免费自行下载最新手册）。</w:t>
            </w:r>
          </w:p>
          <w:p>
            <w:pPr>
              <w:pStyle w:val="TableParagraph"/>
              <w:kinsoku w:val="0"/>
              <w:overflowPunct w:val="0"/>
              <w:spacing w:before="5"/>
              <w:rPr>
                <w:rFonts w:hint="default"/>
                <w:sz w:val="22"/>
                <w:szCs w:val="18"/>
              </w:rPr>
            </w:pPr>
            <w:r>
              <w:rPr>
                <w:sz w:val="22"/>
                <w:szCs w:val="18"/>
              </w:rPr>
              <w:t>4、保证金缴纳时间：投标保证金须在投标截止时间</w:t>
            </w:r>
            <w:r>
              <w:rPr>
                <w:sz w:val="22"/>
                <w:szCs w:val="18"/>
                <w:u w:val="single"/>
              </w:rPr>
              <w:t xml:space="preserve">  </w:t>
            </w:r>
            <w:r>
              <w:rPr>
                <w:rFonts w:asciiTheme="minorEastAsia" w:eastAsiaTheme="minorEastAsia" w:hAnsiTheme="minorEastAsia" w:cstheme="minorEastAsia" w:hint="eastAsia"/>
                <w:b/>
                <w:bCs/>
                <w:kern w:val="0"/>
                <w:sz w:val="21"/>
                <w:szCs w:val="21"/>
                <w:u w:val="single"/>
                <w:lang w:val="en-US" w:eastAsia="zh-CN"/>
              </w:rPr>
              <w:t xml:space="preserve">  2021年4月12日 16:00分</w:t>
            </w:r>
            <w:r>
              <w:rPr>
                <w:sz w:val="22"/>
                <w:szCs w:val="18"/>
              </w:rPr>
              <w:t>以前，通过公司基本账户（自然人许可参与的项目除外）转账或者电汇的方式提交到以下指定账户，并注明项目编号和用途，不接受个人转账或现金；未按要求提交保证金的视为自动放弃参与此次招标活动。</w:t>
            </w:r>
          </w:p>
          <w:p>
            <w:pPr>
              <w:pStyle w:val="TableParagraph"/>
              <w:kinsoku w:val="0"/>
              <w:overflowPunct w:val="0"/>
              <w:spacing w:before="5"/>
              <w:rPr>
                <w:rFonts w:hint="default"/>
                <w:sz w:val="22"/>
                <w:szCs w:val="18"/>
              </w:rPr>
            </w:pPr>
            <w:r>
              <w:rPr>
                <w:sz w:val="22"/>
                <w:szCs w:val="18"/>
              </w:rPr>
              <w:t>5、保证金的退还：中标（成交）人的保证金在合同扫描件上传怒江州公共资源交易电子化平台后，5个工作日内含息退还；未中标(成交)人的保证金在中标（成交）通知书发出后5个工作日内全额含息退还。</w:t>
            </w:r>
          </w:p>
          <w:p>
            <w:pPr>
              <w:pStyle w:val="TableParagraph"/>
              <w:kinsoku w:val="0"/>
              <w:overflowPunct w:val="0"/>
              <w:spacing w:before="5"/>
              <w:rPr>
                <w:rFonts w:hint="default"/>
                <w:sz w:val="22"/>
                <w:szCs w:val="18"/>
              </w:rPr>
            </w:pPr>
            <w:r>
              <w:rPr>
                <w:sz w:val="22"/>
                <w:szCs w:val="18"/>
              </w:rPr>
              <w:t>开户名：福贡县公共资源交易中心</w:t>
            </w:r>
          </w:p>
          <w:p>
            <w:pPr>
              <w:pStyle w:val="TableParagraph"/>
              <w:kinsoku w:val="0"/>
              <w:overflowPunct w:val="0"/>
              <w:spacing w:before="5"/>
              <w:rPr>
                <w:rFonts w:hint="default"/>
                <w:sz w:val="22"/>
                <w:szCs w:val="18"/>
              </w:rPr>
            </w:pPr>
            <w:r>
              <w:rPr>
                <w:sz w:val="22"/>
                <w:szCs w:val="18"/>
              </w:rPr>
              <w:t>开户银行：中国建设银行股份有限公司怒江州分行营业室</w:t>
            </w:r>
          </w:p>
          <w:p>
            <w:pPr>
              <w:pStyle w:val="TableParagraph"/>
              <w:shd w:val="clear" w:color="auto" w:fill="auto"/>
              <w:kinsoku w:val="0"/>
              <w:overflowPunct w:val="0"/>
              <w:spacing w:before="5"/>
              <w:rPr>
                <w:rFonts w:hint="default"/>
                <w:sz w:val="22"/>
                <w:szCs w:val="18"/>
              </w:rPr>
            </w:pPr>
            <w:r>
              <w:rPr>
                <w:sz w:val="22"/>
                <w:szCs w:val="18"/>
              </w:rPr>
              <w:t>账  号：</w:t>
            </w:r>
            <w:r>
              <w:rPr>
                <w:rFonts w:hint="eastAsia"/>
                <w:sz w:val="22"/>
                <w:szCs w:val="18"/>
              </w:rPr>
              <w:t xml:space="preserve">6232813990000007460 </w:t>
            </w:r>
          </w:p>
          <w:p>
            <w:pPr>
              <w:pStyle w:val="TableParagraph"/>
              <w:kinsoku w:val="0"/>
              <w:overflowPunct w:val="0"/>
              <w:spacing w:before="5"/>
              <w:rPr>
                <w:rFonts w:hint="eastAsia"/>
                <w:sz w:val="22"/>
                <w:szCs w:val="18"/>
                <w:lang w:val="en-US" w:eastAsia="zh-CN"/>
              </w:rPr>
            </w:pPr>
            <w:r>
              <w:rPr>
                <w:sz w:val="22"/>
                <w:szCs w:val="18"/>
              </w:rPr>
              <w:t>福贡县公共资源交易中心申请纠错联系人及其电话：</w:t>
            </w:r>
            <w:r>
              <w:rPr>
                <w:rFonts w:hint="eastAsia"/>
                <w:sz w:val="22"/>
                <w:szCs w:val="18"/>
                <w:lang w:eastAsia="zh-CN"/>
              </w:rPr>
              <w:t>阿</w:t>
            </w:r>
            <w:r>
              <w:rPr>
                <w:rFonts w:hint="eastAsia"/>
                <w:sz w:val="22"/>
                <w:szCs w:val="18"/>
              </w:rPr>
              <w:t>女士，0886-</w:t>
            </w:r>
            <w:r>
              <w:rPr>
                <w:rFonts w:hint="eastAsia"/>
                <w:sz w:val="22"/>
                <w:szCs w:val="18"/>
                <w:lang w:val="en-US" w:eastAsia="zh-CN"/>
              </w:rPr>
              <w:t>3413820</w:t>
            </w:r>
          </w:p>
          <w:p>
            <w:pPr>
              <w:pStyle w:val="TableParagraph"/>
              <w:kinsoku w:val="0"/>
              <w:overflowPunct w:val="0"/>
              <w:spacing w:before="5"/>
              <w:rPr>
                <w:rFonts w:hint="default"/>
                <w:sz w:val="22"/>
                <w:szCs w:val="18"/>
              </w:rPr>
            </w:pPr>
            <w:bookmarkStart w:id="8" w:name="_GoBack"/>
            <w:bookmarkEnd w:id="8"/>
            <w:r>
              <w:rPr>
                <w:sz w:val="22"/>
                <w:szCs w:val="18"/>
              </w:rPr>
              <w:t>建行银行怒江分行保证金缴纳后未到账原因查询联系人及联系电话：鲍女士，0886—8887048</w:t>
            </w:r>
          </w:p>
          <w:p>
            <w:pPr>
              <w:pStyle w:val="TableParagraph"/>
              <w:kinsoku w:val="0"/>
              <w:overflowPunct w:val="0"/>
              <w:spacing w:before="5"/>
              <w:rPr>
                <w:rFonts w:hint="default"/>
              </w:rPr>
            </w:pPr>
            <w:r>
              <w:rPr>
                <w:sz w:val="22"/>
                <w:szCs w:val="18"/>
              </w:rPr>
              <w:t>北京筑龙信息技术有限责任公司技术支持服务热线(服务QQ):400-9618-998</w:t>
            </w:r>
          </w:p>
        </w:tc>
      </w:tr>
      <w:tr>
        <w:tblPrEx>
          <w:tblW w:w="0" w:type="auto"/>
          <w:jc w:val="center"/>
          <w:tblLayout w:type="fixed"/>
          <w:tblCellMar>
            <w:top w:w="0" w:type="dxa"/>
            <w:left w:w="108" w:type="dxa"/>
            <w:bottom w:w="0" w:type="dxa"/>
            <w:right w:w="108" w:type="dxa"/>
          </w:tblCellMar>
        </w:tblPrEx>
        <w:trPr>
          <w:trHeight w:val="552"/>
          <w:jc w:val="center"/>
        </w:trPr>
        <w:tc>
          <w:tcPr>
            <w:tcW w:w="932" w:type="dxa"/>
            <w:vAlign w:val="center"/>
          </w:tcPr>
          <w:p>
            <w:pPr>
              <w:pStyle w:val="PlainText"/>
              <w:jc w:val="center"/>
              <w:rPr>
                <w:rFonts w:hAnsi="宋体" w:hint="default"/>
                <w:szCs w:val="21"/>
              </w:rPr>
            </w:pPr>
            <w:r>
              <w:rPr>
                <w:rFonts w:hAnsi="宋体"/>
                <w:szCs w:val="21"/>
              </w:rPr>
              <w:t>14</w:t>
            </w:r>
          </w:p>
        </w:tc>
        <w:tc>
          <w:tcPr>
            <w:tcW w:w="2388" w:type="dxa"/>
            <w:vAlign w:val="center"/>
          </w:tcPr>
          <w:p>
            <w:pPr>
              <w:pStyle w:val="PlainText"/>
              <w:rPr>
                <w:rFonts w:hAnsi="宋体" w:hint="default"/>
                <w:szCs w:val="21"/>
              </w:rPr>
            </w:pPr>
            <w:r>
              <w:rPr>
                <w:rFonts w:hAnsi="宋体"/>
                <w:szCs w:val="21"/>
              </w:rPr>
              <w:t>提交投标文件截止时间</w:t>
            </w:r>
          </w:p>
        </w:tc>
        <w:tc>
          <w:tcPr>
            <w:tcW w:w="6159" w:type="dxa"/>
            <w:vAlign w:val="center"/>
          </w:tcPr>
          <w:p>
            <w:pPr>
              <w:rPr>
                <w:rFonts w:hAnsi="宋体" w:hint="default"/>
                <w:szCs w:val="21"/>
              </w:rPr>
            </w:pPr>
            <w:r>
              <w:rPr>
                <w:rFonts w:hAnsi="宋体"/>
                <w:szCs w:val="21"/>
                <w:u w:val="single"/>
              </w:rPr>
              <w:t xml:space="preserve">  </w:t>
            </w:r>
            <w:r>
              <w:rPr>
                <w:rFonts w:hAnsi="宋体" w:hint="eastAsia"/>
                <w:color w:val="auto"/>
                <w:szCs w:val="21"/>
                <w:u w:val="single"/>
                <w:lang w:val="en-US" w:eastAsia="zh-CN"/>
              </w:rPr>
              <w:t>2021</w:t>
            </w:r>
            <w:r>
              <w:rPr>
                <w:rFonts w:hAnsi="宋体"/>
                <w:color w:val="auto"/>
                <w:szCs w:val="21"/>
                <w:u w:val="single"/>
              </w:rPr>
              <w:t>年</w:t>
            </w:r>
            <w:r>
              <w:rPr>
                <w:rFonts w:hAnsi="宋体" w:hint="eastAsia"/>
                <w:color w:val="auto"/>
                <w:szCs w:val="21"/>
                <w:u w:val="single"/>
                <w:lang w:val="en-US" w:eastAsia="zh-CN"/>
              </w:rPr>
              <w:t xml:space="preserve"> 4</w:t>
            </w:r>
            <w:r>
              <w:rPr>
                <w:rFonts w:hAnsi="宋体"/>
                <w:color w:val="auto"/>
                <w:szCs w:val="21"/>
                <w:u w:val="single"/>
              </w:rPr>
              <w:t>月</w:t>
            </w:r>
            <w:r>
              <w:rPr>
                <w:rFonts w:hAnsi="宋体" w:hint="eastAsia"/>
                <w:color w:val="auto"/>
                <w:szCs w:val="21"/>
                <w:u w:val="single"/>
                <w:lang w:val="en-US" w:eastAsia="zh-CN"/>
              </w:rPr>
              <w:t xml:space="preserve">13 </w:t>
            </w:r>
            <w:r>
              <w:rPr>
                <w:rFonts w:hAnsi="宋体"/>
                <w:color w:val="auto"/>
                <w:szCs w:val="21"/>
                <w:u w:val="single"/>
              </w:rPr>
              <w:t>日</w:t>
            </w:r>
            <w:r>
              <w:rPr>
                <w:rFonts w:hAnsi="宋体" w:hint="eastAsia"/>
                <w:color w:val="auto"/>
                <w:szCs w:val="21"/>
                <w:u w:val="single"/>
                <w:lang w:val="en-US" w:eastAsia="zh-CN"/>
              </w:rPr>
              <w:t xml:space="preserve">上 </w:t>
            </w:r>
            <w:r>
              <w:rPr>
                <w:rFonts w:hAnsi="宋体"/>
                <w:color w:val="auto"/>
                <w:szCs w:val="21"/>
                <w:u w:val="single"/>
              </w:rPr>
              <w:t>午</w:t>
            </w:r>
            <w:r>
              <w:rPr>
                <w:rFonts w:hAnsi="宋体" w:hint="eastAsia"/>
                <w:color w:val="auto"/>
                <w:szCs w:val="21"/>
                <w:u w:val="single"/>
                <w:lang w:val="en-US" w:eastAsia="zh-CN"/>
              </w:rPr>
              <w:t xml:space="preserve">09 </w:t>
            </w:r>
            <w:r>
              <w:rPr>
                <w:rFonts w:hAnsi="宋体"/>
                <w:color w:val="auto"/>
                <w:szCs w:val="21"/>
                <w:u w:val="single"/>
              </w:rPr>
              <w:t>时</w:t>
            </w:r>
            <w:r>
              <w:rPr>
                <w:rFonts w:hAnsi="宋体" w:hint="eastAsia"/>
                <w:color w:val="auto"/>
                <w:szCs w:val="21"/>
                <w:u w:val="single"/>
                <w:lang w:val="en-US" w:eastAsia="zh-CN"/>
              </w:rPr>
              <w:t>00</w:t>
            </w:r>
            <w:r>
              <w:rPr>
                <w:rFonts w:hAnsi="宋体"/>
                <w:color w:val="auto"/>
                <w:szCs w:val="21"/>
                <w:u w:val="single"/>
              </w:rPr>
              <w:t>分</w:t>
            </w:r>
            <w:r>
              <w:rPr>
                <w:rFonts w:hAnsi="宋体"/>
                <w:szCs w:val="21"/>
              </w:rPr>
              <w:t>之前（北京时间）</w:t>
            </w:r>
          </w:p>
        </w:tc>
      </w:tr>
      <w:tr>
        <w:tblPrEx>
          <w:tblW w:w="0" w:type="auto"/>
          <w:jc w:val="center"/>
          <w:tblLayout w:type="fixed"/>
          <w:tblCellMar>
            <w:top w:w="0" w:type="dxa"/>
            <w:left w:w="108" w:type="dxa"/>
            <w:bottom w:w="0" w:type="dxa"/>
            <w:right w:w="108" w:type="dxa"/>
          </w:tblCellMar>
        </w:tblPrEx>
        <w:trPr>
          <w:trHeight w:val="886"/>
          <w:jc w:val="center"/>
        </w:trPr>
        <w:tc>
          <w:tcPr>
            <w:tcW w:w="932" w:type="dxa"/>
            <w:vAlign w:val="center"/>
          </w:tcPr>
          <w:p>
            <w:pPr>
              <w:pStyle w:val="PlainText"/>
              <w:jc w:val="center"/>
              <w:rPr>
                <w:rFonts w:hAnsi="宋体" w:hint="default"/>
                <w:szCs w:val="21"/>
              </w:rPr>
            </w:pPr>
            <w:r>
              <w:rPr>
                <w:rFonts w:hAnsi="宋体"/>
                <w:szCs w:val="21"/>
              </w:rPr>
              <w:t>15</w:t>
            </w:r>
          </w:p>
        </w:tc>
        <w:tc>
          <w:tcPr>
            <w:tcW w:w="2388" w:type="dxa"/>
            <w:vAlign w:val="center"/>
          </w:tcPr>
          <w:p>
            <w:pPr>
              <w:pStyle w:val="PlainText"/>
              <w:rPr>
                <w:rFonts w:hAnsi="宋体" w:hint="default"/>
                <w:szCs w:val="21"/>
              </w:rPr>
            </w:pPr>
            <w:r>
              <w:rPr>
                <w:rFonts w:hAnsi="宋体"/>
                <w:szCs w:val="21"/>
              </w:rPr>
              <w:t>提交投标文件地点</w:t>
            </w:r>
          </w:p>
        </w:tc>
        <w:tc>
          <w:tcPr>
            <w:tcW w:w="6159" w:type="dxa"/>
            <w:vAlign w:val="center"/>
          </w:tcPr>
          <w:p>
            <w:pPr>
              <w:pStyle w:val="PlainText"/>
              <w:rPr>
                <w:rFonts w:hAnsi="宋体" w:hint="default"/>
                <w:b/>
                <w:bCs/>
                <w:szCs w:val="21"/>
              </w:rPr>
            </w:pPr>
            <w:r>
              <w:rPr>
                <w:rFonts w:hAnsi="宋体"/>
                <w:b/>
                <w:bCs/>
                <w:szCs w:val="21"/>
              </w:rPr>
              <w:t>1.电子响应文件递交地点：怒江州公共资源交易电子服务系统</w:t>
            </w:r>
          </w:p>
          <w:p>
            <w:pPr>
              <w:pStyle w:val="PlainText"/>
              <w:rPr>
                <w:rFonts w:hAnsi="宋体" w:hint="default"/>
                <w:b/>
                <w:bCs/>
                <w:color w:val="0000FF"/>
                <w:szCs w:val="21"/>
              </w:rPr>
            </w:pPr>
            <w:r>
              <w:rPr>
                <w:rFonts w:hAnsi="宋体"/>
                <w:b/>
                <w:bCs/>
                <w:szCs w:val="21"/>
              </w:rPr>
              <w:t>2.电子光盘递交地点：福贡县公共资源交易中心开标室</w:t>
            </w:r>
          </w:p>
        </w:tc>
      </w:tr>
      <w:tr>
        <w:tblPrEx>
          <w:tblW w:w="0" w:type="auto"/>
          <w:jc w:val="center"/>
          <w:tblLayout w:type="fixed"/>
          <w:tblCellMar>
            <w:top w:w="0" w:type="dxa"/>
            <w:left w:w="108" w:type="dxa"/>
            <w:bottom w:w="0" w:type="dxa"/>
            <w:right w:w="108" w:type="dxa"/>
          </w:tblCellMar>
        </w:tblPrEx>
        <w:trPr>
          <w:trHeight w:val="886"/>
          <w:jc w:val="center"/>
        </w:trPr>
        <w:tc>
          <w:tcPr>
            <w:tcW w:w="932" w:type="dxa"/>
            <w:vAlign w:val="center"/>
          </w:tcPr>
          <w:p>
            <w:pPr>
              <w:pStyle w:val="PlainText"/>
              <w:jc w:val="center"/>
              <w:rPr>
                <w:rFonts w:hAnsi="宋体" w:hint="default"/>
                <w:szCs w:val="21"/>
              </w:rPr>
            </w:pPr>
            <w:r>
              <w:rPr>
                <w:rFonts w:hAnsi="宋体"/>
                <w:szCs w:val="21"/>
              </w:rPr>
              <w:t>16</w:t>
            </w:r>
          </w:p>
        </w:tc>
        <w:tc>
          <w:tcPr>
            <w:tcW w:w="2388" w:type="dxa"/>
            <w:vAlign w:val="center"/>
          </w:tcPr>
          <w:p>
            <w:pPr>
              <w:pStyle w:val="PlainText"/>
              <w:rPr>
                <w:rFonts w:hAnsi="宋体" w:hint="default"/>
                <w:szCs w:val="21"/>
              </w:rPr>
            </w:pPr>
            <w:r>
              <w:rPr>
                <w:rFonts w:hAnsi="宋体"/>
                <w:szCs w:val="21"/>
              </w:rPr>
              <w:t>投标文件的退还</w:t>
            </w:r>
          </w:p>
        </w:tc>
        <w:tc>
          <w:tcPr>
            <w:tcW w:w="6159" w:type="dxa"/>
            <w:vAlign w:val="center"/>
          </w:tcPr>
          <w:p>
            <w:pPr>
              <w:pStyle w:val="PlainText"/>
              <w:rPr>
                <w:rFonts w:hAnsi="宋体" w:hint="default"/>
                <w:szCs w:val="21"/>
              </w:rPr>
            </w:pPr>
            <w:r>
              <w:rPr>
                <w:rFonts w:hAnsi="宋体"/>
                <w:szCs w:val="21"/>
                <w:u w:val="single"/>
              </w:rPr>
              <w:t>■</w:t>
            </w:r>
            <w:r>
              <w:rPr>
                <w:rFonts w:hAnsi="宋体"/>
                <w:szCs w:val="21"/>
              </w:rPr>
              <w:t>不予退还   □退还</w:t>
            </w:r>
          </w:p>
        </w:tc>
      </w:tr>
      <w:tr>
        <w:tblPrEx>
          <w:tblW w:w="0" w:type="auto"/>
          <w:jc w:val="center"/>
          <w:tblLayout w:type="fixed"/>
          <w:tblCellMar>
            <w:top w:w="0" w:type="dxa"/>
            <w:left w:w="108" w:type="dxa"/>
            <w:bottom w:w="0" w:type="dxa"/>
            <w:right w:w="108" w:type="dxa"/>
          </w:tblCellMar>
        </w:tblPrEx>
        <w:trPr>
          <w:trHeight w:val="621"/>
          <w:jc w:val="center"/>
        </w:trPr>
        <w:tc>
          <w:tcPr>
            <w:tcW w:w="932" w:type="dxa"/>
            <w:vAlign w:val="center"/>
          </w:tcPr>
          <w:p>
            <w:pPr>
              <w:pStyle w:val="PlainText"/>
              <w:jc w:val="center"/>
              <w:rPr>
                <w:rFonts w:hAnsi="宋体" w:hint="default"/>
                <w:szCs w:val="21"/>
              </w:rPr>
            </w:pPr>
            <w:r>
              <w:rPr>
                <w:rFonts w:hAnsi="宋体"/>
                <w:szCs w:val="21"/>
              </w:rPr>
              <w:t>17</w:t>
            </w:r>
          </w:p>
        </w:tc>
        <w:tc>
          <w:tcPr>
            <w:tcW w:w="2388" w:type="dxa"/>
            <w:vAlign w:val="center"/>
          </w:tcPr>
          <w:p>
            <w:pPr>
              <w:pStyle w:val="PlainText"/>
              <w:rPr>
                <w:rFonts w:hAnsi="宋体" w:hint="default"/>
                <w:szCs w:val="21"/>
              </w:rPr>
            </w:pPr>
            <w:r>
              <w:rPr>
                <w:rFonts w:hAnsi="宋体"/>
                <w:szCs w:val="21"/>
              </w:rPr>
              <w:t>开标时间和地点</w:t>
            </w:r>
          </w:p>
        </w:tc>
        <w:tc>
          <w:tcPr>
            <w:tcW w:w="6159" w:type="dxa"/>
            <w:vAlign w:val="center"/>
          </w:tcPr>
          <w:p>
            <w:pPr>
              <w:rPr>
                <w:rFonts w:hAnsi="宋体" w:hint="default"/>
                <w:color w:val="FF0000"/>
                <w:szCs w:val="21"/>
              </w:rPr>
            </w:pPr>
            <w:r>
              <w:rPr>
                <w:rFonts w:hAnsi="宋体"/>
                <w:szCs w:val="21"/>
              </w:rPr>
              <w:t>开标时间：</w:t>
            </w:r>
            <w:r>
              <w:rPr>
                <w:rFonts w:hAnsi="宋体"/>
                <w:szCs w:val="21"/>
                <w:u w:val="single"/>
              </w:rPr>
              <w:t xml:space="preserve"> </w:t>
            </w:r>
            <w:r>
              <w:rPr>
                <w:rFonts w:hAnsi="宋体" w:hint="eastAsia"/>
                <w:color w:val="auto"/>
                <w:szCs w:val="21"/>
                <w:u w:val="single"/>
                <w:lang w:val="en-US" w:eastAsia="zh-CN"/>
              </w:rPr>
              <w:t>2021</w:t>
            </w:r>
            <w:r>
              <w:rPr>
                <w:rFonts w:hAnsi="宋体"/>
                <w:color w:val="auto"/>
                <w:szCs w:val="21"/>
                <w:u w:val="single"/>
              </w:rPr>
              <w:t>年</w:t>
            </w:r>
            <w:r>
              <w:rPr>
                <w:rFonts w:hAnsi="宋体" w:hint="eastAsia"/>
                <w:color w:val="auto"/>
                <w:szCs w:val="21"/>
                <w:u w:val="single"/>
                <w:lang w:val="en-US" w:eastAsia="zh-CN"/>
              </w:rPr>
              <w:t xml:space="preserve"> 4</w:t>
            </w:r>
            <w:r>
              <w:rPr>
                <w:rFonts w:hAnsi="宋体"/>
                <w:color w:val="auto"/>
                <w:szCs w:val="21"/>
                <w:u w:val="single"/>
              </w:rPr>
              <w:t>月</w:t>
            </w:r>
            <w:r>
              <w:rPr>
                <w:rFonts w:hAnsi="宋体" w:hint="eastAsia"/>
                <w:color w:val="auto"/>
                <w:szCs w:val="21"/>
                <w:u w:val="single"/>
                <w:lang w:val="en-US" w:eastAsia="zh-CN"/>
              </w:rPr>
              <w:t xml:space="preserve">13 </w:t>
            </w:r>
            <w:r>
              <w:rPr>
                <w:rFonts w:hAnsi="宋体"/>
                <w:color w:val="auto"/>
                <w:szCs w:val="21"/>
                <w:u w:val="single"/>
              </w:rPr>
              <w:t>日</w:t>
            </w:r>
            <w:r>
              <w:rPr>
                <w:rFonts w:hAnsi="宋体" w:hint="eastAsia"/>
                <w:color w:val="auto"/>
                <w:szCs w:val="21"/>
                <w:u w:val="single"/>
                <w:lang w:val="en-US" w:eastAsia="zh-CN"/>
              </w:rPr>
              <w:t xml:space="preserve">上 </w:t>
            </w:r>
            <w:r>
              <w:rPr>
                <w:rFonts w:hAnsi="宋体"/>
                <w:color w:val="auto"/>
                <w:szCs w:val="21"/>
                <w:u w:val="single"/>
              </w:rPr>
              <w:t>午</w:t>
            </w:r>
            <w:r>
              <w:rPr>
                <w:rFonts w:hAnsi="宋体" w:hint="eastAsia"/>
                <w:color w:val="auto"/>
                <w:szCs w:val="21"/>
                <w:u w:val="single"/>
                <w:lang w:val="en-US" w:eastAsia="zh-CN"/>
              </w:rPr>
              <w:t xml:space="preserve">09 </w:t>
            </w:r>
            <w:r>
              <w:rPr>
                <w:rFonts w:hAnsi="宋体"/>
                <w:color w:val="auto"/>
                <w:szCs w:val="21"/>
                <w:u w:val="single"/>
              </w:rPr>
              <w:t>时</w:t>
            </w:r>
            <w:r>
              <w:rPr>
                <w:rFonts w:hAnsi="宋体" w:hint="eastAsia"/>
                <w:color w:val="auto"/>
                <w:szCs w:val="21"/>
                <w:u w:val="single"/>
                <w:lang w:val="en-US" w:eastAsia="zh-CN"/>
              </w:rPr>
              <w:t>00</w:t>
            </w:r>
            <w:r>
              <w:rPr>
                <w:rFonts w:hAnsi="宋体"/>
                <w:color w:val="auto"/>
                <w:szCs w:val="21"/>
                <w:u w:val="single"/>
              </w:rPr>
              <w:t>分</w:t>
            </w:r>
            <w:r>
              <w:rPr>
                <w:rFonts w:hAnsi="宋体"/>
                <w:szCs w:val="21"/>
                <w:u w:val="single"/>
              </w:rPr>
              <w:t>（北京时间）</w:t>
            </w:r>
          </w:p>
          <w:p>
            <w:pPr>
              <w:pStyle w:val="PlainText"/>
              <w:ind w:left="1200" w:hanging="1200" w:hangingChars="500"/>
              <w:rPr>
                <w:rFonts w:hAnsi="宋体" w:hint="default"/>
                <w:szCs w:val="21"/>
                <w:u w:val="single"/>
              </w:rPr>
            </w:pPr>
            <w:r>
              <w:rPr>
                <w:rFonts w:hAnsi="宋体"/>
                <w:szCs w:val="21"/>
              </w:rPr>
              <w:t>开标地点：</w:t>
            </w:r>
            <w:r>
              <w:rPr>
                <w:rFonts w:hAnsi="宋体"/>
                <w:szCs w:val="21"/>
                <w:u w:val="single"/>
              </w:rPr>
              <w:t>福贡县公共资源交易中心开标室</w:t>
            </w:r>
          </w:p>
        </w:tc>
      </w:tr>
      <w:tr>
        <w:tblPrEx>
          <w:tblW w:w="0" w:type="auto"/>
          <w:jc w:val="center"/>
          <w:tblLayout w:type="fixed"/>
          <w:tblCellMar>
            <w:top w:w="0" w:type="dxa"/>
            <w:left w:w="108" w:type="dxa"/>
            <w:bottom w:w="0" w:type="dxa"/>
            <w:right w:w="108" w:type="dxa"/>
          </w:tblCellMar>
        </w:tblPrEx>
        <w:trPr>
          <w:trHeight w:val="602"/>
          <w:jc w:val="center"/>
        </w:trPr>
        <w:tc>
          <w:tcPr>
            <w:tcW w:w="932" w:type="dxa"/>
            <w:vAlign w:val="center"/>
          </w:tcPr>
          <w:p>
            <w:pPr>
              <w:pStyle w:val="PlainText"/>
              <w:jc w:val="center"/>
              <w:rPr>
                <w:rFonts w:hAnsi="宋体" w:hint="default"/>
                <w:szCs w:val="21"/>
              </w:rPr>
            </w:pPr>
            <w:r>
              <w:rPr>
                <w:rFonts w:hAnsi="宋体"/>
                <w:szCs w:val="21"/>
              </w:rPr>
              <w:t>18</w:t>
            </w:r>
          </w:p>
        </w:tc>
        <w:tc>
          <w:tcPr>
            <w:tcW w:w="2388" w:type="dxa"/>
            <w:vAlign w:val="center"/>
          </w:tcPr>
          <w:p>
            <w:pPr>
              <w:pStyle w:val="PlainText"/>
              <w:rPr>
                <w:rFonts w:hAnsi="宋体" w:hint="default"/>
                <w:szCs w:val="21"/>
              </w:rPr>
            </w:pPr>
            <w:r>
              <w:rPr>
                <w:rFonts w:hAnsi="宋体"/>
                <w:szCs w:val="21"/>
              </w:rPr>
              <w:t>评标方法</w:t>
            </w:r>
          </w:p>
        </w:tc>
        <w:tc>
          <w:tcPr>
            <w:tcW w:w="6159" w:type="dxa"/>
            <w:vAlign w:val="center"/>
          </w:tcPr>
          <w:p>
            <w:pPr>
              <w:rPr>
                <w:rFonts w:ascii="宋体" w:hAnsi="宋体" w:hint="default"/>
                <w:szCs w:val="21"/>
              </w:rPr>
            </w:pPr>
            <w:r>
              <w:rPr>
                <w:rFonts w:ascii="宋体" w:hAnsi="宋体"/>
                <w:szCs w:val="21"/>
              </w:rPr>
              <w:t>□最低评标价法</w:t>
            </w:r>
          </w:p>
          <w:p>
            <w:pPr>
              <w:rPr>
                <w:rFonts w:ascii="宋体" w:hAnsi="宋体" w:hint="default"/>
                <w:szCs w:val="21"/>
              </w:rPr>
            </w:pPr>
            <w:r>
              <w:rPr>
                <w:rFonts w:hAnsi="宋体"/>
                <w:szCs w:val="21"/>
                <w:u w:val="single"/>
              </w:rPr>
              <w:t>■</w:t>
            </w:r>
            <w:r>
              <w:rPr>
                <w:rFonts w:ascii="宋体" w:hAnsi="宋体"/>
                <w:szCs w:val="21"/>
              </w:rPr>
              <w:t>综合评分法</w:t>
            </w:r>
          </w:p>
          <w:p>
            <w:pPr>
              <w:rPr>
                <w:rFonts w:ascii="宋体" w:hAnsi="宋体" w:hint="default"/>
                <w:szCs w:val="21"/>
              </w:rPr>
            </w:pPr>
            <w:r>
              <w:rPr>
                <w:rFonts w:ascii="宋体" w:hAnsi="宋体"/>
                <w:szCs w:val="21"/>
              </w:rPr>
              <w:t>□性价比法</w:t>
            </w:r>
          </w:p>
        </w:tc>
      </w:tr>
      <w:tr>
        <w:tblPrEx>
          <w:tblW w:w="0" w:type="auto"/>
          <w:jc w:val="center"/>
          <w:tblLayout w:type="fixed"/>
          <w:tblCellMar>
            <w:top w:w="0" w:type="dxa"/>
            <w:left w:w="108" w:type="dxa"/>
            <w:bottom w:w="0" w:type="dxa"/>
            <w:right w:w="108" w:type="dxa"/>
          </w:tblCellMar>
        </w:tblPrEx>
        <w:trPr>
          <w:trHeight w:val="249"/>
          <w:jc w:val="center"/>
        </w:trPr>
        <w:tc>
          <w:tcPr>
            <w:tcW w:w="932" w:type="dxa"/>
            <w:vAlign w:val="center"/>
          </w:tcPr>
          <w:p>
            <w:pPr>
              <w:pStyle w:val="PlainText"/>
              <w:jc w:val="center"/>
              <w:rPr>
                <w:rFonts w:hAnsi="宋体" w:hint="default"/>
                <w:szCs w:val="21"/>
              </w:rPr>
            </w:pPr>
            <w:r>
              <w:rPr>
                <w:rFonts w:hAnsi="宋体"/>
                <w:szCs w:val="21"/>
              </w:rPr>
              <w:t>19</w:t>
            </w:r>
          </w:p>
        </w:tc>
        <w:tc>
          <w:tcPr>
            <w:tcW w:w="2388" w:type="dxa"/>
            <w:vAlign w:val="center"/>
          </w:tcPr>
          <w:p>
            <w:pPr>
              <w:pStyle w:val="PlainText"/>
              <w:rPr>
                <w:rFonts w:hAnsi="宋体" w:hint="default"/>
                <w:szCs w:val="21"/>
              </w:rPr>
            </w:pPr>
            <w:r>
              <w:rPr>
                <w:szCs w:val="21"/>
              </w:rPr>
              <w:t>履约保证金</w:t>
            </w:r>
          </w:p>
        </w:tc>
        <w:tc>
          <w:tcPr>
            <w:tcW w:w="6159" w:type="dxa"/>
            <w:vAlign w:val="center"/>
          </w:tcPr>
          <w:p>
            <w:pPr>
              <w:spacing w:line="360" w:lineRule="auto"/>
              <w:rPr>
                <w:rFonts w:hAnsi="宋体" w:hint="default"/>
                <w:szCs w:val="21"/>
              </w:rPr>
            </w:pPr>
            <w:r>
              <w:rPr>
                <w:rFonts w:hAnsi="宋体"/>
                <w:szCs w:val="21"/>
              </w:rPr>
              <w:t>合同总价的10%</w:t>
            </w:r>
          </w:p>
        </w:tc>
      </w:tr>
      <w:tr>
        <w:tblPrEx>
          <w:tblW w:w="0" w:type="auto"/>
          <w:jc w:val="center"/>
          <w:tblLayout w:type="fixed"/>
          <w:tblCellMar>
            <w:top w:w="0" w:type="dxa"/>
            <w:left w:w="108" w:type="dxa"/>
            <w:bottom w:w="0" w:type="dxa"/>
            <w:right w:w="108" w:type="dxa"/>
          </w:tblCellMar>
        </w:tblPrEx>
        <w:trPr>
          <w:trHeight w:val="249"/>
          <w:jc w:val="center"/>
        </w:trPr>
        <w:tc>
          <w:tcPr>
            <w:tcW w:w="932" w:type="dxa"/>
            <w:vAlign w:val="center"/>
          </w:tcPr>
          <w:p>
            <w:pPr>
              <w:pStyle w:val="PlainText"/>
              <w:jc w:val="center"/>
              <w:rPr>
                <w:rFonts w:hAnsi="宋体" w:hint="default"/>
                <w:szCs w:val="21"/>
              </w:rPr>
            </w:pPr>
            <w:r>
              <w:rPr>
                <w:rFonts w:hAnsi="宋体"/>
                <w:szCs w:val="21"/>
              </w:rPr>
              <w:t>20</w:t>
            </w:r>
          </w:p>
        </w:tc>
        <w:tc>
          <w:tcPr>
            <w:tcW w:w="2388" w:type="dxa"/>
            <w:vAlign w:val="center"/>
          </w:tcPr>
          <w:p>
            <w:pPr>
              <w:pStyle w:val="PlainText"/>
              <w:rPr>
                <w:rFonts w:hAnsi="宋体" w:hint="default"/>
                <w:szCs w:val="21"/>
              </w:rPr>
            </w:pPr>
            <w:r>
              <w:rPr>
                <w:rFonts w:hAnsi="宋体"/>
                <w:szCs w:val="21"/>
              </w:rPr>
              <w:t xml:space="preserve">采购代理服务费 </w:t>
            </w:r>
          </w:p>
        </w:tc>
        <w:tc>
          <w:tcPr>
            <w:tcW w:w="6159" w:type="dxa"/>
            <w:vAlign w:val="center"/>
          </w:tcPr>
          <w:p>
            <w:pPr>
              <w:rPr>
                <w:rFonts w:hAnsi="宋体" w:hint="default"/>
                <w:szCs w:val="21"/>
              </w:rPr>
            </w:pPr>
            <w:r>
              <w:rPr>
                <w:rFonts w:hAnsi="宋体"/>
                <w:szCs w:val="21"/>
              </w:rPr>
              <w:t>采购代理机构根据国家计委计价格（2002）1980号文件的标准，按发改办价格[2003]857号文件规定向中标人收取代理服务费及其他相关费用等。</w:t>
            </w:r>
          </w:p>
        </w:tc>
      </w:tr>
      <w:tr>
        <w:tblPrEx>
          <w:tblW w:w="0" w:type="auto"/>
          <w:jc w:val="center"/>
          <w:tblLayout w:type="fixed"/>
          <w:tblCellMar>
            <w:top w:w="0" w:type="dxa"/>
            <w:left w:w="108" w:type="dxa"/>
            <w:bottom w:w="0" w:type="dxa"/>
            <w:right w:w="108" w:type="dxa"/>
          </w:tblCellMar>
        </w:tblPrEx>
        <w:trPr>
          <w:trHeight w:val="249"/>
          <w:jc w:val="center"/>
        </w:trPr>
        <w:tc>
          <w:tcPr>
            <w:tcW w:w="932" w:type="dxa"/>
            <w:vAlign w:val="center"/>
          </w:tcPr>
          <w:p>
            <w:pPr>
              <w:pStyle w:val="PlainText"/>
              <w:jc w:val="center"/>
              <w:rPr>
                <w:rFonts w:hAnsi="宋体" w:hint="default"/>
                <w:szCs w:val="21"/>
              </w:rPr>
            </w:pPr>
            <w:r>
              <w:rPr>
                <w:rFonts w:hAnsi="宋体"/>
                <w:szCs w:val="21"/>
              </w:rPr>
              <w:t>21</w:t>
            </w:r>
          </w:p>
        </w:tc>
        <w:tc>
          <w:tcPr>
            <w:tcW w:w="2388" w:type="dxa"/>
            <w:vAlign w:val="center"/>
          </w:tcPr>
          <w:p>
            <w:pPr>
              <w:pStyle w:val="PlainText"/>
              <w:rPr>
                <w:rFonts w:hAnsi="宋体" w:hint="default"/>
                <w:szCs w:val="21"/>
              </w:rPr>
            </w:pPr>
            <w:r>
              <w:rPr>
                <w:rFonts w:hAnsi="宋体"/>
                <w:szCs w:val="21"/>
              </w:rPr>
              <w:t>备选方案</w:t>
            </w:r>
          </w:p>
        </w:tc>
        <w:tc>
          <w:tcPr>
            <w:tcW w:w="6159" w:type="dxa"/>
            <w:vAlign w:val="center"/>
          </w:tcPr>
          <w:p>
            <w:pPr>
              <w:pStyle w:val="PlainText"/>
              <w:rPr>
                <w:rFonts w:hAnsi="宋体" w:hint="default"/>
                <w:szCs w:val="21"/>
              </w:rPr>
            </w:pPr>
            <w:r>
              <w:rPr>
                <w:rFonts w:hAnsi="宋体"/>
                <w:szCs w:val="21"/>
              </w:rPr>
              <w:t xml:space="preserve">□接受      </w:t>
            </w:r>
            <w:r>
              <w:rPr>
                <w:rFonts w:hAnsi="宋体"/>
                <w:szCs w:val="21"/>
                <w:u w:val="single"/>
              </w:rPr>
              <w:t>■</w:t>
            </w:r>
            <w:r>
              <w:rPr>
                <w:rFonts w:hAnsi="宋体"/>
                <w:szCs w:val="21"/>
              </w:rPr>
              <w:t>不接受</w:t>
            </w:r>
          </w:p>
        </w:tc>
      </w:tr>
      <w:tr>
        <w:tblPrEx>
          <w:tblW w:w="0" w:type="auto"/>
          <w:jc w:val="center"/>
          <w:tblLayout w:type="fixed"/>
          <w:tblCellMar>
            <w:top w:w="0" w:type="dxa"/>
            <w:left w:w="108" w:type="dxa"/>
            <w:bottom w:w="0" w:type="dxa"/>
            <w:right w:w="108" w:type="dxa"/>
          </w:tblCellMar>
        </w:tblPrEx>
        <w:trPr>
          <w:trHeight w:val="249"/>
          <w:jc w:val="center"/>
        </w:trPr>
        <w:tc>
          <w:tcPr>
            <w:tcW w:w="932" w:type="dxa"/>
            <w:vAlign w:val="center"/>
          </w:tcPr>
          <w:p>
            <w:pPr>
              <w:pStyle w:val="PlainText"/>
              <w:jc w:val="center"/>
              <w:rPr>
                <w:rFonts w:hAnsi="宋体" w:hint="default"/>
                <w:szCs w:val="21"/>
              </w:rPr>
            </w:pPr>
            <w:r>
              <w:rPr>
                <w:rFonts w:hAnsi="宋体"/>
                <w:szCs w:val="21"/>
              </w:rPr>
              <w:t>22</w:t>
            </w:r>
          </w:p>
        </w:tc>
        <w:tc>
          <w:tcPr>
            <w:tcW w:w="8547" w:type="dxa"/>
            <w:gridSpan w:val="2"/>
            <w:vAlign w:val="center"/>
          </w:tcPr>
          <w:p>
            <w:pPr>
              <w:spacing w:line="340" w:lineRule="exact"/>
              <w:rPr>
                <w:rFonts w:hAnsi="宋体" w:cs="宋体" w:hint="default"/>
                <w:color w:val="000000"/>
                <w:szCs w:val="21"/>
              </w:rPr>
            </w:pPr>
            <w:r>
              <w:rPr>
                <w:rFonts w:hAnsi="宋体" w:cs="宋体"/>
                <w:color w:val="000000"/>
                <w:szCs w:val="21"/>
              </w:rPr>
              <w:t>特别注意事项：</w:t>
            </w:r>
          </w:p>
          <w:p>
            <w:pPr>
              <w:pStyle w:val="PlainText"/>
              <w:rPr>
                <w:rFonts w:hAnsi="宋体" w:hint="default"/>
                <w:szCs w:val="21"/>
              </w:rPr>
            </w:pPr>
            <w:r>
              <w:rPr>
                <w:rFonts w:hAnsi="宋体" w:cs="宋体"/>
                <w:color w:val="000000"/>
                <w:szCs w:val="21"/>
              </w:rPr>
              <w:t>1.投标人应选择相当于或优于采购人所公布的产品技术性能及参数进行投标，投标人所投产品须满足国家及行业的质量、安全技术标准。投标人若有幸中标，所供产品须按照投标文件中所承诺的产品技术性能指标、质量和相关承诺进行供货。若在交货时发现提供的产品达不到以上要求，采购单位有权终止合同，并法向中标单位追究相应的法律责任以及追偿经济损失。</w:t>
            </w:r>
          </w:p>
        </w:tc>
      </w:tr>
      <w:tr>
        <w:tblPrEx>
          <w:tblW w:w="0" w:type="auto"/>
          <w:jc w:val="center"/>
          <w:tblLayout w:type="fixed"/>
          <w:tblCellMar>
            <w:top w:w="0" w:type="dxa"/>
            <w:left w:w="108" w:type="dxa"/>
            <w:bottom w:w="0" w:type="dxa"/>
            <w:right w:w="108" w:type="dxa"/>
          </w:tblCellMar>
        </w:tblPrEx>
        <w:trPr>
          <w:trHeight w:val="249"/>
          <w:jc w:val="center"/>
        </w:trPr>
        <w:tc>
          <w:tcPr>
            <w:tcW w:w="932" w:type="dxa"/>
            <w:vAlign w:val="center"/>
          </w:tcPr>
          <w:p>
            <w:pPr>
              <w:pStyle w:val="PlainText"/>
              <w:jc w:val="center"/>
              <w:rPr>
                <w:rFonts w:hAnsi="宋体" w:hint="default"/>
                <w:szCs w:val="21"/>
              </w:rPr>
            </w:pPr>
            <w:r>
              <w:rPr>
                <w:rFonts w:hAnsi="宋体"/>
                <w:szCs w:val="21"/>
              </w:rPr>
              <w:t>23</w:t>
            </w:r>
          </w:p>
        </w:tc>
        <w:tc>
          <w:tcPr>
            <w:tcW w:w="8547" w:type="dxa"/>
            <w:gridSpan w:val="2"/>
            <w:vAlign w:val="center"/>
          </w:tcPr>
          <w:p>
            <w:pPr>
              <w:pStyle w:val="PlainText"/>
              <w:jc w:val="center"/>
              <w:rPr>
                <w:rFonts w:hAnsi="宋体" w:hint="default"/>
                <w:szCs w:val="21"/>
              </w:rPr>
            </w:pPr>
            <w:r>
              <w:rPr>
                <w:rFonts w:hAnsi="宋体"/>
                <w:szCs w:val="21"/>
              </w:rPr>
              <w:t>需要补充的其他内容</w:t>
            </w:r>
          </w:p>
        </w:tc>
      </w:tr>
      <w:tr>
        <w:tblPrEx>
          <w:tblW w:w="0" w:type="auto"/>
          <w:jc w:val="center"/>
          <w:tblLayout w:type="fixed"/>
          <w:tblCellMar>
            <w:top w:w="0" w:type="dxa"/>
            <w:left w:w="108" w:type="dxa"/>
            <w:bottom w:w="0" w:type="dxa"/>
            <w:right w:w="108" w:type="dxa"/>
          </w:tblCellMar>
        </w:tblPrEx>
        <w:trPr>
          <w:trHeight w:val="546"/>
          <w:jc w:val="center"/>
        </w:trPr>
        <w:tc>
          <w:tcPr>
            <w:tcW w:w="9479" w:type="dxa"/>
            <w:gridSpan w:val="3"/>
            <w:vAlign w:val="center"/>
          </w:tcPr>
          <w:p>
            <w:pPr>
              <w:spacing w:line="360" w:lineRule="auto"/>
              <w:rPr>
                <w:rFonts w:ascii="宋体" w:hAnsi="宋体" w:hint="default"/>
                <w:szCs w:val="21"/>
              </w:rPr>
            </w:pPr>
            <w:r>
              <w:rPr>
                <w:rFonts w:ascii="宋体" w:hAnsi="宋体"/>
                <w:b/>
                <w:bCs/>
              </w:rPr>
              <w:t>电子标书开启时，供应商需提供怒江州公共资源交易电子服务系统专用的投标供应商机构CA数字证书，并现场解密电子标书，请供应商携带机构CA数字证书到开标现场。</w:t>
            </w:r>
          </w:p>
        </w:tc>
      </w:tr>
    </w:tbl>
    <w:p>
      <w:pPr>
        <w:pStyle w:val="BodyText"/>
        <w:ind w:left="0"/>
        <w:rPr>
          <w:rFonts w:hint="default"/>
          <w:b/>
          <w:bCs/>
          <w:sz w:val="32"/>
          <w:szCs w:val="32"/>
        </w:rPr>
      </w:pPr>
    </w:p>
    <w:p>
      <w:pPr>
        <w:kinsoku w:val="0"/>
        <w:overflowPunct w:val="0"/>
        <w:spacing w:before="5"/>
        <w:ind w:left="307"/>
        <w:rPr>
          <w:rFonts w:eastAsia="Times New Roman" w:hint="default"/>
          <w:sz w:val="32"/>
        </w:rPr>
      </w:pPr>
      <w:bookmarkStart w:id="9" w:name="_Toc18722"/>
      <w:r>
        <w:rPr>
          <w:rFonts w:ascii="楷体_GB2312" w:eastAsia="楷体_GB2312" w:hAnsi="楷体_GB2312"/>
          <w:b/>
          <w:spacing w:val="2"/>
          <w:sz w:val="32"/>
        </w:rPr>
        <w:t>一、总则</w:t>
      </w:r>
      <w:bookmarkEnd w:id="9"/>
    </w:p>
    <w:p>
      <w:pPr>
        <w:pStyle w:val="Heading4"/>
        <w:kinsoku w:val="0"/>
        <w:overflowPunct w:val="0"/>
        <w:ind w:left="307"/>
        <w:rPr>
          <w:rFonts w:hint="default"/>
          <w:spacing w:val="-1"/>
        </w:rPr>
      </w:pPr>
      <w:r>
        <w:rPr>
          <w:rFonts w:ascii="Times New Roman" w:eastAsia="Times New Roman" w:hint="default"/>
          <w:spacing w:val="-1"/>
        </w:rPr>
        <w:t>1</w:t>
      </w:r>
      <w:r>
        <w:rPr>
          <w:spacing w:val="-1"/>
        </w:rPr>
        <w:t>、适用范围</w:t>
      </w:r>
    </w:p>
    <w:p>
      <w:pPr>
        <w:pStyle w:val="BodyText"/>
        <w:kinsoku w:val="0"/>
        <w:overflowPunct w:val="0"/>
        <w:spacing w:before="102"/>
        <w:ind w:firstLine="480" w:firstLineChars="200"/>
        <w:rPr>
          <w:rFonts w:hint="default"/>
          <w:sz w:val="22"/>
        </w:rPr>
      </w:pPr>
      <w:r>
        <w:t>1.1</w:t>
      </w:r>
      <w:r>
        <w:rPr>
          <w:spacing w:val="-61"/>
        </w:rPr>
        <w:t xml:space="preserve"> </w:t>
      </w:r>
      <w:r>
        <w:t>本招标文件仅适用于本次招标公告中所叙述的项目。</w:t>
      </w:r>
    </w:p>
    <w:p>
      <w:pPr>
        <w:kinsoku w:val="0"/>
        <w:overflowPunct w:val="0"/>
        <w:spacing w:before="29"/>
        <w:ind w:left="628"/>
        <w:rPr>
          <w:rFonts w:hint="default"/>
        </w:rPr>
      </w:pPr>
      <w:r>
        <w:rPr>
          <w:rFonts w:ascii="宋体" w:hAnsi="宋体"/>
        </w:rPr>
        <w:t>1.2</w:t>
      </w:r>
      <w:r>
        <w:rPr>
          <w:rFonts w:ascii="宋体" w:hAnsi="宋体"/>
          <w:spacing w:val="-67"/>
        </w:rPr>
        <w:t xml:space="preserve"> </w:t>
      </w:r>
      <w:r>
        <w:rPr>
          <w:rFonts w:ascii="宋体" w:hAnsi="宋体"/>
        </w:rPr>
        <w:t>招标人及招标代理机构：见“</w:t>
      </w:r>
      <w:r>
        <w:rPr>
          <w:rFonts w:ascii="宋体" w:hAnsi="宋体"/>
          <w:b/>
        </w:rPr>
        <w:t>投</w:t>
      </w:r>
      <w:r>
        <w:rPr>
          <w:rFonts w:ascii="宋体" w:hAnsi="宋体"/>
          <w:b/>
          <w:spacing w:val="-102"/>
        </w:rPr>
        <w:t xml:space="preserve"> </w:t>
      </w:r>
      <w:r>
        <w:rPr>
          <w:rFonts w:ascii="宋体" w:hAnsi="宋体"/>
          <w:b/>
        </w:rPr>
        <w:t>标</w:t>
      </w:r>
      <w:r>
        <w:rPr>
          <w:rFonts w:ascii="宋体" w:hAnsi="宋体"/>
          <w:b/>
          <w:spacing w:val="-102"/>
        </w:rPr>
        <w:t xml:space="preserve"> </w:t>
      </w:r>
      <w:r>
        <w:rPr>
          <w:rFonts w:ascii="宋体" w:hAnsi="宋体"/>
          <w:b/>
        </w:rPr>
        <w:t>人</w:t>
      </w:r>
      <w:r>
        <w:rPr>
          <w:rFonts w:ascii="宋体" w:hAnsi="宋体"/>
          <w:b/>
          <w:spacing w:val="-102"/>
        </w:rPr>
        <w:t xml:space="preserve"> </w:t>
      </w:r>
      <w:r>
        <w:rPr>
          <w:rFonts w:ascii="宋体" w:hAnsi="宋体"/>
          <w:b/>
          <w:spacing w:val="18"/>
        </w:rPr>
        <w:t>须</w:t>
      </w:r>
      <w:r>
        <w:rPr>
          <w:rFonts w:ascii="宋体" w:hAnsi="宋体"/>
          <w:b/>
        </w:rPr>
        <w:t>知</w:t>
      </w:r>
      <w:r>
        <w:rPr>
          <w:rFonts w:ascii="宋体" w:hAnsi="宋体"/>
          <w:b/>
          <w:spacing w:val="-102"/>
        </w:rPr>
        <w:t xml:space="preserve"> </w:t>
      </w:r>
      <w:r>
        <w:rPr>
          <w:rFonts w:ascii="宋体" w:hAnsi="宋体"/>
          <w:b/>
        </w:rPr>
        <w:t>前</w:t>
      </w:r>
      <w:r>
        <w:rPr>
          <w:rFonts w:ascii="宋体" w:hAnsi="宋体"/>
          <w:b/>
          <w:spacing w:val="-102"/>
        </w:rPr>
        <w:t xml:space="preserve"> </w:t>
      </w:r>
      <w:r>
        <w:rPr>
          <w:rFonts w:ascii="宋体" w:hAnsi="宋体"/>
          <w:b/>
        </w:rPr>
        <w:t>附</w:t>
      </w:r>
      <w:r>
        <w:rPr>
          <w:rFonts w:ascii="宋体" w:hAnsi="宋体"/>
          <w:b/>
          <w:spacing w:val="-102"/>
        </w:rPr>
        <w:t xml:space="preserve"> </w:t>
      </w:r>
      <w:r>
        <w:rPr>
          <w:rFonts w:ascii="宋体" w:hAnsi="宋体"/>
          <w:b/>
        </w:rPr>
        <w:t>表</w:t>
      </w:r>
      <w:r>
        <w:rPr>
          <w:rFonts w:ascii="宋体" w:hAnsi="宋体"/>
          <w:b/>
          <w:spacing w:val="-100"/>
        </w:rPr>
        <w:t xml:space="preserve"> </w:t>
      </w:r>
      <w:r>
        <w:rPr>
          <w:rFonts w:ascii="宋体" w:hAnsi="宋体"/>
        </w:rPr>
        <w:t>”。</w:t>
      </w:r>
    </w:p>
    <w:p>
      <w:pPr>
        <w:kinsoku w:val="0"/>
        <w:overflowPunct w:val="0"/>
        <w:spacing w:before="129"/>
        <w:ind w:left="628"/>
        <w:rPr>
          <w:rFonts w:hint="default"/>
        </w:rPr>
      </w:pPr>
      <w:r>
        <w:rPr>
          <w:rFonts w:ascii="宋体" w:hAnsi="宋体"/>
        </w:rPr>
        <w:t>1.3</w:t>
      </w:r>
      <w:r>
        <w:rPr>
          <w:rFonts w:ascii="宋体" w:hAnsi="宋体"/>
          <w:spacing w:val="-67"/>
        </w:rPr>
        <w:t xml:space="preserve"> </w:t>
      </w:r>
      <w:r>
        <w:rPr>
          <w:rFonts w:ascii="宋体" w:hAnsi="宋体"/>
        </w:rPr>
        <w:t>项目名称及项目编号：见“</w:t>
      </w:r>
      <w:r>
        <w:rPr>
          <w:rFonts w:ascii="宋体" w:hAnsi="宋体"/>
          <w:b/>
        </w:rPr>
        <w:t>投</w:t>
      </w:r>
      <w:r>
        <w:rPr>
          <w:rFonts w:ascii="宋体" w:hAnsi="宋体"/>
          <w:b/>
          <w:spacing w:val="-102"/>
        </w:rPr>
        <w:t xml:space="preserve"> </w:t>
      </w:r>
      <w:r>
        <w:rPr>
          <w:rFonts w:ascii="宋体" w:hAnsi="宋体"/>
          <w:b/>
        </w:rPr>
        <w:t>标</w:t>
      </w:r>
      <w:r>
        <w:rPr>
          <w:rFonts w:ascii="宋体" w:hAnsi="宋体"/>
          <w:b/>
          <w:spacing w:val="-102"/>
        </w:rPr>
        <w:t xml:space="preserve"> </w:t>
      </w:r>
      <w:r>
        <w:rPr>
          <w:rFonts w:ascii="宋体" w:hAnsi="宋体"/>
          <w:b/>
        </w:rPr>
        <w:t>人</w:t>
      </w:r>
      <w:r>
        <w:rPr>
          <w:rFonts w:ascii="宋体" w:hAnsi="宋体"/>
          <w:b/>
          <w:spacing w:val="-102"/>
        </w:rPr>
        <w:t xml:space="preserve"> </w:t>
      </w:r>
      <w:r>
        <w:rPr>
          <w:rFonts w:ascii="宋体" w:hAnsi="宋体"/>
          <w:b/>
        </w:rPr>
        <w:t>须</w:t>
      </w:r>
      <w:r>
        <w:rPr>
          <w:rFonts w:ascii="宋体" w:hAnsi="宋体"/>
          <w:b/>
          <w:spacing w:val="-102"/>
        </w:rPr>
        <w:t xml:space="preserve"> </w:t>
      </w:r>
      <w:r>
        <w:rPr>
          <w:rFonts w:ascii="宋体" w:hAnsi="宋体"/>
          <w:b/>
          <w:spacing w:val="18"/>
        </w:rPr>
        <w:t>知</w:t>
      </w:r>
      <w:r>
        <w:rPr>
          <w:rFonts w:ascii="宋体" w:hAnsi="宋体"/>
          <w:b/>
        </w:rPr>
        <w:t>前</w:t>
      </w:r>
      <w:r>
        <w:rPr>
          <w:rFonts w:ascii="宋体" w:hAnsi="宋体"/>
          <w:b/>
          <w:spacing w:val="-102"/>
        </w:rPr>
        <w:t xml:space="preserve"> </w:t>
      </w:r>
      <w:r>
        <w:rPr>
          <w:rFonts w:ascii="宋体" w:hAnsi="宋体"/>
          <w:b/>
        </w:rPr>
        <w:t>附</w:t>
      </w:r>
      <w:r>
        <w:rPr>
          <w:rFonts w:ascii="宋体" w:hAnsi="宋体"/>
          <w:b/>
          <w:spacing w:val="-102"/>
        </w:rPr>
        <w:t xml:space="preserve"> </w:t>
      </w:r>
      <w:r>
        <w:rPr>
          <w:rFonts w:ascii="宋体" w:hAnsi="宋体"/>
          <w:b/>
        </w:rPr>
        <w:t>表</w:t>
      </w:r>
      <w:r>
        <w:rPr>
          <w:rFonts w:ascii="宋体" w:hAnsi="宋体"/>
          <w:b/>
          <w:spacing w:val="-100"/>
        </w:rPr>
        <w:t xml:space="preserve"> </w:t>
      </w:r>
      <w:r>
        <w:rPr>
          <w:rFonts w:ascii="宋体" w:hAnsi="宋体"/>
        </w:rPr>
        <w:t>”。</w:t>
      </w:r>
    </w:p>
    <w:p>
      <w:pPr>
        <w:kinsoku w:val="0"/>
        <w:overflowPunct w:val="0"/>
        <w:spacing w:before="129"/>
        <w:ind w:left="628"/>
        <w:rPr>
          <w:rFonts w:hint="default"/>
        </w:rPr>
      </w:pPr>
      <w:r>
        <w:rPr>
          <w:rFonts w:ascii="宋体" w:hAnsi="宋体"/>
        </w:rPr>
        <w:t>1.4</w:t>
      </w:r>
      <w:r>
        <w:rPr>
          <w:rFonts w:ascii="宋体" w:hAnsi="宋体"/>
          <w:spacing w:val="-67"/>
        </w:rPr>
        <w:t xml:space="preserve"> </w:t>
      </w:r>
      <w:r>
        <w:rPr>
          <w:rFonts w:ascii="宋体" w:hAnsi="宋体"/>
        </w:rPr>
        <w:t>招标内容：见“</w:t>
      </w:r>
      <w:r>
        <w:rPr>
          <w:rFonts w:ascii="宋体" w:hAnsi="宋体"/>
          <w:b/>
        </w:rPr>
        <w:t>投</w:t>
      </w:r>
      <w:r>
        <w:rPr>
          <w:rFonts w:ascii="宋体" w:hAnsi="宋体"/>
          <w:b/>
          <w:spacing w:val="-102"/>
        </w:rPr>
        <w:t xml:space="preserve"> </w:t>
      </w:r>
      <w:r>
        <w:rPr>
          <w:rFonts w:ascii="宋体" w:hAnsi="宋体"/>
          <w:b/>
        </w:rPr>
        <w:t>标</w:t>
      </w:r>
      <w:r>
        <w:rPr>
          <w:rFonts w:ascii="宋体" w:hAnsi="宋体"/>
          <w:b/>
          <w:spacing w:val="-102"/>
        </w:rPr>
        <w:t xml:space="preserve"> </w:t>
      </w:r>
      <w:r>
        <w:rPr>
          <w:rFonts w:ascii="宋体" w:hAnsi="宋体"/>
          <w:b/>
        </w:rPr>
        <w:t>人</w:t>
      </w:r>
      <w:r>
        <w:rPr>
          <w:rFonts w:ascii="宋体" w:hAnsi="宋体"/>
          <w:b/>
          <w:spacing w:val="-102"/>
        </w:rPr>
        <w:t xml:space="preserve"> </w:t>
      </w:r>
      <w:r>
        <w:rPr>
          <w:rFonts w:ascii="宋体" w:hAnsi="宋体"/>
          <w:b/>
        </w:rPr>
        <w:t>须</w:t>
      </w:r>
      <w:r>
        <w:rPr>
          <w:rFonts w:ascii="宋体" w:hAnsi="宋体"/>
          <w:b/>
          <w:spacing w:val="-102"/>
        </w:rPr>
        <w:t xml:space="preserve"> </w:t>
      </w:r>
      <w:r>
        <w:rPr>
          <w:rFonts w:ascii="宋体" w:hAnsi="宋体"/>
          <w:b/>
        </w:rPr>
        <w:t>知</w:t>
      </w:r>
      <w:r>
        <w:rPr>
          <w:rFonts w:ascii="宋体" w:hAnsi="宋体"/>
          <w:b/>
          <w:spacing w:val="-102"/>
        </w:rPr>
        <w:t xml:space="preserve"> </w:t>
      </w:r>
      <w:r>
        <w:rPr>
          <w:rFonts w:ascii="宋体" w:hAnsi="宋体"/>
          <w:b/>
          <w:spacing w:val="18"/>
        </w:rPr>
        <w:t>前</w:t>
      </w:r>
      <w:r>
        <w:rPr>
          <w:rFonts w:ascii="宋体" w:hAnsi="宋体"/>
          <w:b/>
        </w:rPr>
        <w:t>附</w:t>
      </w:r>
      <w:r>
        <w:rPr>
          <w:rFonts w:ascii="宋体" w:hAnsi="宋体"/>
          <w:b/>
          <w:spacing w:val="-102"/>
        </w:rPr>
        <w:t xml:space="preserve"> </w:t>
      </w:r>
      <w:r>
        <w:rPr>
          <w:rFonts w:ascii="宋体" w:hAnsi="宋体"/>
          <w:b/>
        </w:rPr>
        <w:t>表</w:t>
      </w:r>
      <w:r>
        <w:rPr>
          <w:rFonts w:ascii="宋体" w:hAnsi="宋体"/>
          <w:b/>
          <w:spacing w:val="-100"/>
        </w:rPr>
        <w:t xml:space="preserve"> </w:t>
      </w:r>
      <w:r>
        <w:rPr>
          <w:rFonts w:ascii="宋体" w:hAnsi="宋体"/>
        </w:rPr>
        <w:t>”。</w:t>
      </w:r>
    </w:p>
    <w:p>
      <w:pPr>
        <w:kinsoku w:val="0"/>
        <w:overflowPunct w:val="0"/>
        <w:spacing w:before="131"/>
        <w:ind w:left="628"/>
        <w:rPr>
          <w:rFonts w:hint="default"/>
        </w:rPr>
      </w:pPr>
      <w:r>
        <w:rPr>
          <w:rFonts w:ascii="宋体" w:hAnsi="宋体"/>
        </w:rPr>
        <w:t>1.5</w:t>
      </w:r>
      <w:r>
        <w:rPr>
          <w:rFonts w:ascii="宋体" w:hAnsi="宋体"/>
          <w:spacing w:val="-67"/>
        </w:rPr>
        <w:t xml:space="preserve"> </w:t>
      </w:r>
      <w:r>
        <w:rPr>
          <w:rFonts w:ascii="宋体" w:hAnsi="宋体"/>
        </w:rPr>
        <w:t>项目完成时间及交货地点：见“</w:t>
      </w:r>
      <w:r>
        <w:rPr>
          <w:rFonts w:ascii="宋体" w:hAnsi="宋体"/>
          <w:b/>
        </w:rPr>
        <w:t>投</w:t>
      </w:r>
      <w:r>
        <w:rPr>
          <w:rFonts w:ascii="宋体" w:hAnsi="宋体"/>
          <w:b/>
          <w:spacing w:val="-102"/>
        </w:rPr>
        <w:t xml:space="preserve"> </w:t>
      </w:r>
      <w:r>
        <w:rPr>
          <w:rFonts w:ascii="宋体" w:hAnsi="宋体"/>
          <w:b/>
        </w:rPr>
        <w:t>标</w:t>
      </w:r>
      <w:r>
        <w:rPr>
          <w:rFonts w:ascii="宋体" w:hAnsi="宋体"/>
          <w:b/>
          <w:spacing w:val="-102"/>
        </w:rPr>
        <w:t xml:space="preserve"> </w:t>
      </w:r>
      <w:r>
        <w:rPr>
          <w:rFonts w:ascii="宋体" w:hAnsi="宋体"/>
          <w:b/>
          <w:spacing w:val="18"/>
        </w:rPr>
        <w:t>人</w:t>
      </w:r>
      <w:r>
        <w:rPr>
          <w:rFonts w:ascii="宋体" w:hAnsi="宋体"/>
          <w:b/>
        </w:rPr>
        <w:t>须</w:t>
      </w:r>
      <w:r>
        <w:rPr>
          <w:rFonts w:ascii="宋体" w:hAnsi="宋体"/>
          <w:b/>
          <w:spacing w:val="-102"/>
        </w:rPr>
        <w:t xml:space="preserve"> </w:t>
      </w:r>
      <w:r>
        <w:rPr>
          <w:rFonts w:ascii="宋体" w:hAnsi="宋体"/>
          <w:b/>
        </w:rPr>
        <w:t>知</w:t>
      </w:r>
      <w:r>
        <w:rPr>
          <w:rFonts w:ascii="宋体" w:hAnsi="宋体"/>
          <w:b/>
          <w:spacing w:val="-102"/>
        </w:rPr>
        <w:t xml:space="preserve"> </w:t>
      </w:r>
      <w:r>
        <w:rPr>
          <w:rFonts w:ascii="宋体" w:hAnsi="宋体"/>
          <w:b/>
        </w:rPr>
        <w:t>前</w:t>
      </w:r>
      <w:r>
        <w:rPr>
          <w:rFonts w:ascii="宋体" w:hAnsi="宋体"/>
          <w:b/>
          <w:spacing w:val="-102"/>
        </w:rPr>
        <w:t xml:space="preserve"> </w:t>
      </w:r>
      <w:r>
        <w:rPr>
          <w:rFonts w:ascii="宋体" w:hAnsi="宋体"/>
          <w:b/>
        </w:rPr>
        <w:t>附</w:t>
      </w:r>
      <w:r>
        <w:rPr>
          <w:rFonts w:ascii="宋体" w:hAnsi="宋体"/>
          <w:b/>
          <w:spacing w:val="-102"/>
        </w:rPr>
        <w:t xml:space="preserve"> </w:t>
      </w:r>
      <w:r>
        <w:rPr>
          <w:rFonts w:ascii="宋体" w:hAnsi="宋体"/>
          <w:b/>
        </w:rPr>
        <w:t>表</w:t>
      </w:r>
      <w:r>
        <w:rPr>
          <w:rFonts w:ascii="宋体" w:hAnsi="宋体"/>
          <w:b/>
          <w:spacing w:val="-100"/>
        </w:rPr>
        <w:t xml:space="preserve"> </w:t>
      </w:r>
      <w:r>
        <w:rPr>
          <w:rFonts w:ascii="宋体" w:hAnsi="宋体"/>
        </w:rPr>
        <w:t>”。</w:t>
      </w:r>
    </w:p>
    <w:p>
      <w:pPr>
        <w:kinsoku w:val="0"/>
        <w:overflowPunct w:val="0"/>
        <w:spacing w:before="129"/>
        <w:ind w:left="628"/>
        <w:rPr>
          <w:rFonts w:hint="default"/>
        </w:rPr>
      </w:pPr>
      <w:r>
        <w:rPr>
          <w:rFonts w:ascii="宋体" w:hAnsi="宋体"/>
        </w:rPr>
        <w:t>1.6</w:t>
      </w:r>
      <w:r>
        <w:rPr>
          <w:rFonts w:ascii="宋体" w:hAnsi="宋体"/>
          <w:spacing w:val="-67"/>
        </w:rPr>
        <w:t xml:space="preserve"> </w:t>
      </w:r>
      <w:r>
        <w:rPr>
          <w:rFonts w:ascii="宋体" w:hAnsi="宋体"/>
        </w:rPr>
        <w:t>现场踏勘：见“</w:t>
      </w:r>
      <w:r>
        <w:rPr>
          <w:rFonts w:ascii="宋体" w:hAnsi="宋体"/>
          <w:b/>
        </w:rPr>
        <w:t>投</w:t>
      </w:r>
      <w:r>
        <w:rPr>
          <w:rFonts w:ascii="宋体" w:hAnsi="宋体"/>
          <w:b/>
          <w:spacing w:val="-102"/>
        </w:rPr>
        <w:t xml:space="preserve"> </w:t>
      </w:r>
      <w:r>
        <w:rPr>
          <w:rFonts w:ascii="宋体" w:hAnsi="宋体"/>
          <w:b/>
        </w:rPr>
        <w:t>标</w:t>
      </w:r>
      <w:r>
        <w:rPr>
          <w:rFonts w:ascii="宋体" w:hAnsi="宋体"/>
          <w:b/>
          <w:spacing w:val="-102"/>
        </w:rPr>
        <w:t xml:space="preserve"> </w:t>
      </w:r>
      <w:r>
        <w:rPr>
          <w:rFonts w:ascii="宋体" w:hAnsi="宋体"/>
          <w:b/>
        </w:rPr>
        <w:t>人</w:t>
      </w:r>
      <w:r>
        <w:rPr>
          <w:rFonts w:ascii="宋体" w:hAnsi="宋体"/>
          <w:b/>
          <w:spacing w:val="-102"/>
        </w:rPr>
        <w:t xml:space="preserve"> </w:t>
      </w:r>
      <w:r>
        <w:rPr>
          <w:rFonts w:ascii="宋体" w:hAnsi="宋体"/>
          <w:b/>
        </w:rPr>
        <w:t>须</w:t>
      </w:r>
      <w:r>
        <w:rPr>
          <w:rFonts w:ascii="宋体" w:hAnsi="宋体"/>
          <w:b/>
          <w:spacing w:val="-102"/>
        </w:rPr>
        <w:t xml:space="preserve"> </w:t>
      </w:r>
      <w:r>
        <w:rPr>
          <w:rFonts w:ascii="宋体" w:hAnsi="宋体"/>
          <w:b/>
        </w:rPr>
        <w:t>知</w:t>
      </w:r>
      <w:r>
        <w:rPr>
          <w:rFonts w:ascii="宋体" w:hAnsi="宋体"/>
          <w:b/>
          <w:spacing w:val="-102"/>
        </w:rPr>
        <w:t xml:space="preserve"> </w:t>
      </w:r>
      <w:r>
        <w:rPr>
          <w:rFonts w:ascii="宋体" w:hAnsi="宋体"/>
          <w:b/>
          <w:spacing w:val="18"/>
        </w:rPr>
        <w:t>前</w:t>
      </w:r>
      <w:r>
        <w:rPr>
          <w:rFonts w:ascii="宋体" w:hAnsi="宋体"/>
          <w:b/>
        </w:rPr>
        <w:t>附</w:t>
      </w:r>
      <w:r>
        <w:rPr>
          <w:rFonts w:ascii="宋体" w:hAnsi="宋体"/>
          <w:b/>
          <w:spacing w:val="-102"/>
        </w:rPr>
        <w:t xml:space="preserve"> </w:t>
      </w:r>
      <w:r>
        <w:rPr>
          <w:rFonts w:ascii="宋体" w:hAnsi="宋体"/>
          <w:b/>
        </w:rPr>
        <w:t>表</w:t>
      </w:r>
      <w:r>
        <w:rPr>
          <w:rFonts w:ascii="宋体" w:hAnsi="宋体"/>
          <w:b/>
          <w:spacing w:val="-100"/>
        </w:rPr>
        <w:t xml:space="preserve"> </w:t>
      </w:r>
      <w:r>
        <w:rPr>
          <w:rFonts w:ascii="宋体" w:hAnsi="宋体"/>
        </w:rPr>
        <w:t>”。</w:t>
      </w:r>
    </w:p>
    <w:p>
      <w:pPr>
        <w:pStyle w:val="Heading4"/>
        <w:kinsoku w:val="0"/>
        <w:overflowPunct w:val="0"/>
        <w:spacing w:before="82"/>
        <w:rPr>
          <w:rFonts w:hint="default"/>
        </w:rPr>
      </w:pPr>
      <w:r>
        <w:rPr>
          <w:rFonts w:ascii="Times New Roman" w:eastAsia="Times New Roman" w:hint="default"/>
          <w:spacing w:val="6"/>
        </w:rPr>
        <w:t>2</w:t>
      </w:r>
      <w:r>
        <w:rPr>
          <w:spacing w:val="6"/>
        </w:rPr>
        <w:t>、合格的投标人</w:t>
      </w:r>
    </w:p>
    <w:p>
      <w:pPr>
        <w:kinsoku w:val="0"/>
        <w:overflowPunct w:val="0"/>
        <w:spacing w:before="104"/>
        <w:ind w:left="628"/>
        <w:rPr>
          <w:rFonts w:hint="default"/>
        </w:rPr>
      </w:pPr>
      <w:r>
        <w:rPr>
          <w:rFonts w:ascii="宋体" w:hAnsi="宋体"/>
        </w:rPr>
        <w:t>2.1</w:t>
      </w:r>
      <w:r>
        <w:rPr>
          <w:rFonts w:ascii="宋体" w:hAnsi="宋体"/>
          <w:spacing w:val="-81"/>
        </w:rPr>
        <w:t xml:space="preserve"> </w:t>
      </w:r>
      <w:r>
        <w:rPr>
          <w:rFonts w:ascii="宋体" w:hAnsi="宋体"/>
        </w:rPr>
        <w:t>详见“</w:t>
      </w:r>
      <w:r>
        <w:rPr>
          <w:rFonts w:ascii="宋体" w:hAnsi="宋体"/>
          <w:b/>
        </w:rPr>
        <w:t>投标人须知前附表</w:t>
      </w:r>
      <w:r>
        <w:rPr>
          <w:rFonts w:ascii="宋体" w:hAnsi="宋体"/>
        </w:rPr>
        <w:t>”；</w:t>
      </w:r>
    </w:p>
    <w:p>
      <w:pPr>
        <w:pStyle w:val="BodyText"/>
        <w:kinsoku w:val="0"/>
        <w:overflowPunct w:val="0"/>
        <w:spacing w:before="129" w:line="339" w:lineRule="auto"/>
        <w:ind w:firstLine="480"/>
        <w:rPr>
          <w:rFonts w:hint="default"/>
        </w:rPr>
      </w:pPr>
      <w:r>
        <w:t>2.2</w:t>
      </w:r>
      <w:r>
        <w:rPr>
          <w:spacing w:val="-1"/>
        </w:rPr>
        <w:t xml:space="preserve"> </w:t>
      </w:r>
      <w:r>
        <w:t>投标人具有良好的商业信誉和健全的财务会计制度</w:t>
      </w:r>
      <w:r>
        <w:rPr>
          <w:spacing w:val="-120"/>
        </w:rPr>
        <w:t>；</w:t>
      </w:r>
      <w:r>
        <w:t>具有履行合同所必需的专业技术能力；有依法缴纳税收的良好记录；</w:t>
      </w:r>
    </w:p>
    <w:p>
      <w:pPr>
        <w:pStyle w:val="BodyText"/>
        <w:kinsoku w:val="0"/>
        <w:overflowPunct w:val="0"/>
        <w:spacing w:before="32" w:line="339" w:lineRule="auto"/>
        <w:ind w:firstLine="600"/>
        <w:rPr>
          <w:rFonts w:hint="default"/>
        </w:rPr>
      </w:pPr>
      <w:r>
        <w:t>2.3</w:t>
      </w:r>
      <w:r>
        <w:rPr>
          <w:spacing w:val="-1"/>
        </w:rPr>
        <w:t xml:space="preserve"> </w:t>
      </w:r>
      <w:r>
        <w:t>投标人的法定代表人为同一个人的两个或两个以上法人，母公司、全资子公司 及其控股公司，都不得在同一标段中同时报价；</w:t>
      </w:r>
    </w:p>
    <w:p>
      <w:pPr>
        <w:pStyle w:val="BodyText"/>
        <w:kinsoku w:val="0"/>
        <w:overflowPunct w:val="0"/>
        <w:spacing w:line="340" w:lineRule="auto"/>
        <w:ind w:right="155" w:firstLine="480"/>
        <w:jc w:val="both"/>
        <w:rPr>
          <w:rFonts w:hint="default"/>
        </w:rPr>
      </w:pPr>
      <w:r>
        <w:t>2.4</w:t>
      </w:r>
      <w:r>
        <w:rPr>
          <w:spacing w:val="-61"/>
        </w:rPr>
        <w:t xml:space="preserve"> </w:t>
      </w:r>
      <w:r>
        <w:t>投标人应遵守国家法律</w:t>
      </w:r>
      <w:r>
        <w:rPr>
          <w:spacing w:val="-29"/>
        </w:rPr>
        <w:t>、</w:t>
      </w:r>
      <w:r>
        <w:t>法规按中华人民共和国下列法律</w:t>
      </w:r>
      <w:r>
        <w:rPr>
          <w:spacing w:val="-29"/>
        </w:rPr>
        <w:t>、</w:t>
      </w:r>
      <w:r>
        <w:t>法规及行业的有关规 定和要求完成本货物采购</w:t>
      </w:r>
      <w:r>
        <w:rPr>
          <w:spacing w:val="-96"/>
        </w:rPr>
        <w:t>。</w:t>
      </w:r>
      <w:r>
        <w:t>《中华人民共和国合同法</w:t>
      </w:r>
      <w:r>
        <w:rPr>
          <w:spacing w:val="-96"/>
        </w:rPr>
        <w:t>》</w:t>
      </w:r>
      <w:r>
        <w:t>《中华人民共和国政府采购法》</w:t>
      </w:r>
      <w:r>
        <w:rPr>
          <w:spacing w:val="-46"/>
        </w:rPr>
        <w:t xml:space="preserve"> </w:t>
      </w:r>
      <w:r>
        <w:t>及 其它相关法律、法规。一旦参加投标，则应承担相关法律责任。</w:t>
      </w:r>
    </w:p>
    <w:p>
      <w:pPr>
        <w:pStyle w:val="Heading4"/>
        <w:kinsoku w:val="0"/>
        <w:overflowPunct w:val="0"/>
        <w:spacing w:line="365" w:lineRule="exact"/>
        <w:rPr>
          <w:rFonts w:hint="default"/>
          <w:spacing w:val="-1"/>
        </w:rPr>
      </w:pPr>
      <w:r>
        <w:rPr>
          <w:rFonts w:ascii="Times New Roman" w:eastAsia="Times New Roman" w:hint="default"/>
          <w:spacing w:val="-1"/>
        </w:rPr>
        <w:t>3</w:t>
      </w:r>
      <w:r>
        <w:rPr>
          <w:spacing w:val="-1"/>
        </w:rPr>
        <w:t>、投标</w:t>
      </w:r>
    </w:p>
    <w:p>
      <w:pPr>
        <w:kinsoku w:val="0"/>
        <w:overflowPunct w:val="0"/>
        <w:spacing w:before="104"/>
        <w:ind w:left="628"/>
        <w:rPr>
          <w:rFonts w:hint="default"/>
        </w:rPr>
      </w:pPr>
      <w:r>
        <w:rPr>
          <w:rFonts w:ascii="宋体" w:hAnsi="宋体"/>
        </w:rPr>
        <w:t>3.1</w:t>
      </w:r>
      <w:r>
        <w:rPr>
          <w:rFonts w:ascii="宋体" w:hAnsi="宋体"/>
          <w:spacing w:val="-81"/>
        </w:rPr>
        <w:t xml:space="preserve"> </w:t>
      </w:r>
      <w:r>
        <w:rPr>
          <w:rFonts w:ascii="宋体" w:hAnsi="宋体"/>
        </w:rPr>
        <w:t>详见“</w:t>
      </w:r>
      <w:r>
        <w:rPr>
          <w:rFonts w:ascii="宋体" w:hAnsi="宋体"/>
          <w:b/>
        </w:rPr>
        <w:t>投标人须知前附表</w:t>
      </w:r>
      <w:r>
        <w:rPr>
          <w:rFonts w:ascii="宋体" w:hAnsi="宋体"/>
        </w:rPr>
        <w:t>”；</w:t>
      </w:r>
    </w:p>
    <w:p>
      <w:pPr>
        <w:pStyle w:val="BodyText"/>
        <w:kinsoku w:val="0"/>
        <w:overflowPunct w:val="0"/>
        <w:spacing w:before="129"/>
        <w:ind w:left="628"/>
        <w:rPr>
          <w:rFonts w:hint="default"/>
        </w:rPr>
      </w:pPr>
      <w:r>
        <w:t>3.2投标人须符合本章要求；</w:t>
      </w:r>
    </w:p>
    <w:p>
      <w:pPr>
        <w:pStyle w:val="BodyText"/>
        <w:kinsoku w:val="0"/>
        <w:overflowPunct w:val="0"/>
        <w:spacing w:before="110" w:line="341" w:lineRule="auto"/>
        <w:ind w:firstLine="480"/>
        <w:rPr>
          <w:rFonts w:hint="default"/>
        </w:rPr>
      </w:pPr>
      <w:r>
        <w:t>3.3</w:t>
      </w:r>
      <w:r>
        <w:rPr>
          <w:spacing w:val="-61"/>
        </w:rPr>
        <w:t xml:space="preserve"> </w:t>
      </w:r>
      <w:r>
        <w:t>招标人根据采购项目的特殊要求规定投标人特定条件的；</w:t>
      </w:r>
    </w:p>
    <w:p>
      <w:pPr>
        <w:pStyle w:val="Heading4"/>
        <w:kinsoku w:val="0"/>
        <w:overflowPunct w:val="0"/>
        <w:spacing w:before="82"/>
        <w:rPr>
          <w:rFonts w:hint="default"/>
          <w:spacing w:val="6"/>
        </w:rPr>
      </w:pPr>
      <w:r>
        <w:rPr>
          <w:rFonts w:ascii="Times New Roman" w:eastAsia="Times New Roman" w:hint="default"/>
          <w:spacing w:val="6"/>
        </w:rPr>
        <w:t>4</w:t>
      </w:r>
      <w:r>
        <w:rPr>
          <w:spacing w:val="6"/>
        </w:rPr>
        <w:t>、投标费用</w:t>
      </w:r>
    </w:p>
    <w:p>
      <w:pPr>
        <w:pStyle w:val="BodyText"/>
        <w:kinsoku w:val="0"/>
        <w:overflowPunct w:val="0"/>
        <w:spacing w:before="102" w:line="341" w:lineRule="auto"/>
        <w:ind w:firstLine="480"/>
        <w:rPr>
          <w:rFonts w:hint="default"/>
        </w:rPr>
      </w:pPr>
      <w:r>
        <w:t>4.1</w:t>
      </w:r>
      <w:r>
        <w:rPr>
          <w:spacing w:val="-1"/>
        </w:rPr>
        <w:t xml:space="preserve"> </w:t>
      </w:r>
      <w:r>
        <w:rPr>
          <w:spacing w:val="2"/>
        </w:rPr>
        <w:t>投标人应承担所有与编写和提交投标文</w:t>
      </w:r>
      <w:r>
        <w:rPr>
          <w:spacing w:val="-99"/>
        </w:rPr>
        <w:t xml:space="preserve"> </w:t>
      </w:r>
      <w:r>
        <w:rPr>
          <w:spacing w:val="3"/>
        </w:rPr>
        <w:t>件有关的费用，不论投标的结果如何，</w:t>
      </w:r>
      <w:r>
        <w:rPr>
          <w:spacing w:val="30"/>
        </w:rPr>
        <w:t xml:space="preserve"> </w:t>
      </w:r>
      <w:r>
        <w:t>招标人在任何情况下均无义务和责任承担这些费用。</w:t>
      </w:r>
    </w:p>
    <w:p>
      <w:pPr>
        <w:pStyle w:val="Heading2"/>
        <w:tabs>
          <w:tab w:val="clear" w:pos="360"/>
          <w:tab w:val="left" w:pos="1021"/>
        </w:tabs>
        <w:kinsoku w:val="0"/>
        <w:overflowPunct w:val="0"/>
        <w:spacing w:before="141"/>
        <w:rPr>
          <w:rFonts w:hint="default"/>
          <w:sz w:val="32"/>
        </w:rPr>
      </w:pPr>
      <w:bookmarkStart w:id="10" w:name="_Toc11187"/>
      <w:r>
        <w:rPr>
          <w:spacing w:val="2"/>
          <w:sz w:val="32"/>
        </w:rPr>
        <w:t>二、招标文件</w:t>
      </w:r>
      <w:bookmarkEnd w:id="10"/>
    </w:p>
    <w:p>
      <w:pPr>
        <w:pStyle w:val="Heading4"/>
        <w:kinsoku w:val="0"/>
        <w:overflowPunct w:val="0"/>
        <w:rPr>
          <w:rFonts w:hint="default"/>
          <w:spacing w:val="-1"/>
        </w:rPr>
      </w:pPr>
      <w:r>
        <w:rPr>
          <w:rFonts w:ascii="Times New Roman" w:eastAsia="Times New Roman" w:hint="default"/>
          <w:spacing w:val="-1"/>
        </w:rPr>
        <w:t>5</w:t>
      </w:r>
      <w:r>
        <w:rPr>
          <w:spacing w:val="-1"/>
        </w:rPr>
        <w:t>、招标文件的构成</w:t>
      </w:r>
    </w:p>
    <w:p>
      <w:pPr>
        <w:pStyle w:val="BodyText"/>
        <w:kinsoku w:val="0"/>
        <w:overflowPunct w:val="0"/>
        <w:spacing w:before="102" w:line="340" w:lineRule="auto"/>
        <w:ind w:left="628" w:right="6420"/>
        <w:rPr>
          <w:rFonts w:hint="default"/>
        </w:rPr>
      </w:pPr>
      <w:r>
        <w:t>5.1</w:t>
      </w:r>
      <w:r>
        <w:rPr>
          <w:spacing w:val="-1"/>
        </w:rPr>
        <w:t xml:space="preserve"> </w:t>
      </w:r>
      <w:r>
        <w:t>招标文件包括：</w:t>
      </w:r>
    </w:p>
    <w:p>
      <w:pPr>
        <w:pStyle w:val="BodyText"/>
        <w:kinsoku w:val="0"/>
        <w:overflowPunct w:val="0"/>
        <w:spacing w:before="102" w:line="340" w:lineRule="auto"/>
        <w:ind w:right="6420" w:firstLine="480" w:firstLineChars="200"/>
        <w:rPr>
          <w:rFonts w:hint="default"/>
        </w:rPr>
      </w:pPr>
      <w:r>
        <w:t>第一章</w:t>
      </w:r>
      <w:r>
        <w:rPr>
          <w:spacing w:val="-1"/>
        </w:rPr>
        <w:t xml:space="preserve"> </w:t>
      </w:r>
      <w:r>
        <w:t>招标公告</w:t>
      </w:r>
    </w:p>
    <w:p>
      <w:pPr>
        <w:pStyle w:val="BodyText"/>
        <w:kinsoku w:val="0"/>
        <w:overflowPunct w:val="0"/>
        <w:spacing w:before="102" w:line="340" w:lineRule="auto"/>
        <w:ind w:right="6420" w:firstLine="480" w:firstLineChars="200"/>
        <w:rPr>
          <w:rFonts w:hint="default"/>
          <w:sz w:val="22"/>
        </w:rPr>
      </w:pPr>
      <w:r>
        <w:t>第二章</w:t>
      </w:r>
      <w:r>
        <w:rPr>
          <w:spacing w:val="-1"/>
        </w:rPr>
        <w:t xml:space="preserve"> </w:t>
      </w:r>
      <w:r>
        <w:t>投标人须知</w:t>
      </w:r>
    </w:p>
    <w:p>
      <w:pPr>
        <w:pStyle w:val="BodyText"/>
        <w:numPr>
          <w:ilvl w:val="0"/>
          <w:numId w:val="3"/>
        </w:numPr>
        <w:kinsoku w:val="0"/>
        <w:overflowPunct w:val="0"/>
        <w:spacing w:line="340" w:lineRule="auto"/>
        <w:ind w:left="628" w:right="5300"/>
        <w:rPr>
          <w:rFonts w:hint="default"/>
        </w:rPr>
      </w:pPr>
      <w:r>
        <w:t xml:space="preserve">合同书样式及主要条款 </w:t>
      </w:r>
    </w:p>
    <w:p>
      <w:pPr>
        <w:pStyle w:val="BodyText"/>
        <w:numPr>
          <w:ilvl w:val="0"/>
          <w:numId w:val="3"/>
        </w:numPr>
        <w:kinsoku w:val="0"/>
        <w:overflowPunct w:val="0"/>
        <w:spacing w:line="340" w:lineRule="auto"/>
        <w:ind w:left="628" w:right="5300"/>
        <w:rPr>
          <w:rFonts w:hint="default"/>
        </w:rPr>
      </w:pPr>
      <w:r>
        <w:t>投标文件格式</w:t>
      </w:r>
    </w:p>
    <w:p>
      <w:pPr>
        <w:pStyle w:val="BodyText"/>
        <w:kinsoku w:val="0"/>
        <w:overflowPunct w:val="0"/>
        <w:spacing w:line="341" w:lineRule="auto"/>
        <w:ind w:left="628" w:right="5300"/>
        <w:rPr>
          <w:rFonts w:hint="default"/>
        </w:rPr>
      </w:pPr>
      <w:r>
        <w:t>第五章</w:t>
      </w:r>
      <w:r>
        <w:rPr>
          <w:spacing w:val="-1"/>
        </w:rPr>
        <w:t xml:space="preserve"> </w:t>
      </w:r>
      <w:r>
        <w:t>招标内容及技术要求</w:t>
      </w:r>
    </w:p>
    <w:p>
      <w:pPr>
        <w:pStyle w:val="BodyText"/>
        <w:kinsoku w:val="0"/>
        <w:overflowPunct w:val="0"/>
        <w:spacing w:line="341" w:lineRule="auto"/>
        <w:ind w:right="5300" w:firstLine="480" w:firstLineChars="200"/>
        <w:rPr>
          <w:rFonts w:hint="default"/>
        </w:rPr>
      </w:pPr>
      <w:r>
        <w:t>第六章</w:t>
      </w:r>
      <w:r>
        <w:rPr>
          <w:spacing w:val="-1"/>
        </w:rPr>
        <w:t xml:space="preserve"> </w:t>
      </w:r>
      <w:r>
        <w:t>评标办法</w:t>
      </w:r>
    </w:p>
    <w:p>
      <w:pPr>
        <w:pStyle w:val="BodyText"/>
        <w:kinsoku w:val="0"/>
        <w:overflowPunct w:val="0"/>
        <w:spacing w:before="27" w:line="340" w:lineRule="auto"/>
        <w:ind w:right="238" w:firstLine="480"/>
        <w:jc w:val="both"/>
        <w:rPr>
          <w:rFonts w:hint="default"/>
        </w:rPr>
      </w:pPr>
      <w:r>
        <w:t>5.2</w:t>
      </w:r>
      <w:r>
        <w:rPr>
          <w:spacing w:val="-1"/>
        </w:rPr>
        <w:t xml:space="preserve"> </w:t>
      </w:r>
      <w:r>
        <w:t>投标人应认真阅读招标文件中所有的事项</w:t>
      </w:r>
      <w:r>
        <w:rPr>
          <w:spacing w:val="-41"/>
        </w:rPr>
        <w:t>、</w:t>
      </w:r>
      <w:r>
        <w:t>格式</w:t>
      </w:r>
      <w:r>
        <w:rPr>
          <w:spacing w:val="-41"/>
        </w:rPr>
        <w:t>、</w:t>
      </w:r>
      <w:r>
        <w:t>条款和规范</w:t>
      </w:r>
      <w:r>
        <w:rPr>
          <w:spacing w:val="2"/>
        </w:rPr>
        <w:t>等</w:t>
      </w:r>
      <w:r>
        <w:t>要求</w:t>
      </w:r>
      <w:r>
        <w:rPr>
          <w:spacing w:val="-41"/>
        </w:rPr>
        <w:t>。</w:t>
      </w:r>
      <w:r>
        <w:t xml:space="preserve">如果投标 </w:t>
      </w:r>
      <w:r>
        <w:rPr>
          <w:spacing w:val="2"/>
        </w:rPr>
        <w:t>人没有按照招标文件要求提交全部资料或者投标文件没有对招标文件在各方面都做出实</w:t>
      </w:r>
      <w:r>
        <w:rPr>
          <w:spacing w:val="48"/>
        </w:rPr>
        <w:t xml:space="preserve"> </w:t>
      </w:r>
      <w:r>
        <w:t>质性响应，则其投标将被拒绝。</w:t>
      </w:r>
    </w:p>
    <w:p>
      <w:pPr>
        <w:pStyle w:val="Heading4"/>
        <w:kinsoku w:val="0"/>
        <w:overflowPunct w:val="0"/>
        <w:spacing w:line="365" w:lineRule="exact"/>
        <w:rPr>
          <w:rFonts w:hint="default"/>
          <w:spacing w:val="-1"/>
        </w:rPr>
      </w:pPr>
      <w:r>
        <w:rPr>
          <w:rFonts w:ascii="Times New Roman" w:eastAsia="Times New Roman" w:hint="default"/>
          <w:spacing w:val="-1"/>
        </w:rPr>
        <w:t>6</w:t>
      </w:r>
      <w:r>
        <w:rPr>
          <w:spacing w:val="-1"/>
        </w:rPr>
        <w:t>、招标文件的澄清</w:t>
      </w:r>
    </w:p>
    <w:p>
      <w:pPr>
        <w:pStyle w:val="BodyText"/>
        <w:kinsoku w:val="0"/>
        <w:overflowPunct w:val="0"/>
        <w:spacing w:before="102" w:line="336" w:lineRule="auto"/>
        <w:ind w:right="117" w:firstLine="480"/>
        <w:jc w:val="both"/>
        <w:rPr>
          <w:rFonts w:hint="default"/>
        </w:rPr>
      </w:pPr>
      <w:r>
        <w:t>6.1</w:t>
      </w:r>
      <w:r>
        <w:rPr>
          <w:spacing w:val="-7"/>
        </w:rPr>
        <w:t xml:space="preserve"> </w:t>
      </w:r>
      <w:r>
        <w:t>任何要求对招标文件进行澄清的投标人</w:t>
      </w:r>
      <w:r>
        <w:rPr>
          <w:spacing w:val="-46"/>
        </w:rPr>
        <w:t>，</w:t>
      </w:r>
      <w:r>
        <w:rPr>
          <w:spacing w:val="1"/>
        </w:rPr>
        <w:t>均</w:t>
      </w:r>
      <w:r>
        <w:t>须在“</w:t>
      </w:r>
      <w:r>
        <w:rPr>
          <w:b/>
        </w:rPr>
        <w:t>投</w:t>
      </w:r>
      <w:r>
        <w:rPr>
          <w:b/>
          <w:spacing w:val="-101"/>
        </w:rPr>
        <w:t xml:space="preserve"> </w:t>
      </w:r>
      <w:r>
        <w:rPr>
          <w:b/>
        </w:rPr>
        <w:t>标</w:t>
      </w:r>
      <w:r>
        <w:rPr>
          <w:b/>
          <w:spacing w:val="-101"/>
        </w:rPr>
        <w:t xml:space="preserve"> </w:t>
      </w:r>
      <w:r>
        <w:rPr>
          <w:b/>
        </w:rPr>
        <w:t>人</w:t>
      </w:r>
      <w:r>
        <w:rPr>
          <w:b/>
          <w:spacing w:val="-101"/>
        </w:rPr>
        <w:t xml:space="preserve"> </w:t>
      </w:r>
      <w:r>
        <w:rPr>
          <w:b/>
        </w:rPr>
        <w:t>须</w:t>
      </w:r>
      <w:r>
        <w:rPr>
          <w:b/>
          <w:spacing w:val="-101"/>
        </w:rPr>
        <w:t xml:space="preserve"> </w:t>
      </w:r>
      <w:r>
        <w:rPr>
          <w:b/>
          <w:spacing w:val="18"/>
        </w:rPr>
        <w:t>知</w:t>
      </w:r>
      <w:r>
        <w:rPr>
          <w:b/>
        </w:rPr>
        <w:t>前</w:t>
      </w:r>
      <w:r>
        <w:rPr>
          <w:b/>
          <w:spacing w:val="-101"/>
        </w:rPr>
        <w:t xml:space="preserve"> </w:t>
      </w:r>
      <w:r>
        <w:rPr>
          <w:b/>
        </w:rPr>
        <w:t>附</w:t>
      </w:r>
      <w:r>
        <w:rPr>
          <w:b/>
          <w:spacing w:val="-101"/>
        </w:rPr>
        <w:t xml:space="preserve"> </w:t>
      </w:r>
      <w:r>
        <w:rPr>
          <w:b/>
        </w:rPr>
        <w:t>表</w:t>
      </w:r>
      <w:r>
        <w:rPr>
          <w:b/>
          <w:spacing w:val="-99"/>
        </w:rPr>
        <w:t xml:space="preserve"> </w:t>
      </w:r>
      <w:r>
        <w:t>”规定的 招标文件澄清要求递交的截止时</w:t>
      </w:r>
      <w:r>
        <w:rPr>
          <w:spacing w:val="1"/>
        </w:rPr>
        <w:t>间</w:t>
      </w:r>
      <w:r>
        <w:t>以前以信函</w:t>
      </w:r>
      <w:r>
        <w:rPr>
          <w:spacing w:val="-29"/>
        </w:rPr>
        <w:t>、</w:t>
      </w:r>
      <w:r>
        <w:t>电报</w:t>
      </w:r>
      <w:r>
        <w:rPr>
          <w:spacing w:val="-29"/>
        </w:rPr>
        <w:t>、</w:t>
      </w:r>
      <w:r>
        <w:t>传真等书面</w:t>
      </w:r>
      <w:r>
        <w:rPr>
          <w:spacing w:val="-3"/>
        </w:rPr>
        <w:t>形</w:t>
      </w:r>
      <w:r>
        <w:rPr>
          <w:spacing w:val="-29"/>
        </w:rPr>
        <w:t>式</w:t>
      </w:r>
      <w:r>
        <w:t>（加盖公章</w:t>
      </w:r>
      <w:r>
        <w:rPr>
          <w:spacing w:val="-29"/>
        </w:rPr>
        <w:t>）</w:t>
      </w:r>
      <w:r>
        <w:t>要求 招标代理机构澄清</w:t>
      </w:r>
      <w:r>
        <w:rPr>
          <w:spacing w:val="-24"/>
        </w:rPr>
        <w:t>。</w:t>
      </w:r>
      <w:r>
        <w:t>招标代理机构须</w:t>
      </w:r>
      <w:r>
        <w:rPr>
          <w:spacing w:val="-24"/>
        </w:rPr>
        <w:t>在</w:t>
      </w:r>
      <w:r>
        <w:t>《云南省政府采购网</w:t>
      </w:r>
      <w:r>
        <w:rPr>
          <w:spacing w:val="-24"/>
        </w:rPr>
        <w:t>》</w:t>
      </w:r>
      <w:r>
        <w:rPr>
          <w:spacing w:val="-48"/>
        </w:rPr>
        <w:t>、</w:t>
      </w:r>
      <w:r>
        <w:t xml:space="preserve">《云南省公共资源交易信 </w:t>
      </w:r>
      <w:r>
        <w:rPr>
          <w:spacing w:val="-3"/>
        </w:rPr>
        <w:t>息平台网》</w:t>
      </w:r>
      <w:r>
        <w:rPr>
          <w:rFonts w:ascii="Times New Roman" w:eastAsia="Times New Roman" w:hint="default"/>
          <w:spacing w:val="-3"/>
        </w:rPr>
        <w:t>,</w:t>
      </w:r>
      <w:r>
        <w:rPr>
          <w:rFonts w:ascii="Times New Roman" w:eastAsia="Times New Roman" w:hint="default"/>
          <w:spacing w:val="45"/>
        </w:rPr>
        <w:t xml:space="preserve"> </w:t>
      </w:r>
      <w:r>
        <w:rPr>
          <w:spacing w:val="-1"/>
        </w:rPr>
        <w:t>《怒江州公共资源交易电子服务系统》发布澄清公告，并通过电子招标投标</w:t>
      </w:r>
      <w:r>
        <w:rPr>
          <w:spacing w:val="29"/>
        </w:rPr>
        <w:t xml:space="preserve"> </w:t>
      </w:r>
      <w:r>
        <w:t>交易平台答复所有购买招标文件的投标人，答复中包括所问问题，但不包括问题的来源。</w:t>
      </w:r>
    </w:p>
    <w:p>
      <w:pPr>
        <w:pStyle w:val="BodyText"/>
        <w:kinsoku w:val="0"/>
        <w:overflowPunct w:val="0"/>
        <w:spacing w:before="33" w:line="340" w:lineRule="auto"/>
        <w:ind w:right="234" w:firstLine="480"/>
        <w:jc w:val="both"/>
        <w:rPr>
          <w:rFonts w:hint="default"/>
        </w:rPr>
      </w:pPr>
      <w:r>
        <w:t>6.2</w:t>
      </w:r>
      <w:r>
        <w:rPr>
          <w:spacing w:val="-61"/>
        </w:rPr>
        <w:t xml:space="preserve"> </w:t>
      </w:r>
      <w:r>
        <w:rPr>
          <w:spacing w:val="-2"/>
        </w:rPr>
        <w:t>特别说明：决定参加投标的投标人（即供应商）若认为招标文件的资格要求和技</w:t>
      </w:r>
      <w:r>
        <w:t>术要求有倾向性或不公正性</w:t>
      </w:r>
      <w:r>
        <w:rPr>
          <w:spacing w:val="-46"/>
        </w:rPr>
        <w:t>，</w:t>
      </w:r>
      <w:r>
        <w:t>可</w:t>
      </w:r>
      <w:r>
        <w:rPr>
          <w:spacing w:val="1"/>
        </w:rPr>
        <w:t>在</w:t>
      </w:r>
      <w:r>
        <w:t>“</w:t>
      </w:r>
      <w:r>
        <w:rPr>
          <w:b/>
        </w:rPr>
        <w:t>投</w:t>
      </w:r>
      <w:r>
        <w:rPr>
          <w:b/>
          <w:spacing w:val="-103"/>
        </w:rPr>
        <w:t xml:space="preserve"> </w:t>
      </w:r>
      <w:r>
        <w:rPr>
          <w:b/>
        </w:rPr>
        <w:t>标</w:t>
      </w:r>
      <w:r>
        <w:rPr>
          <w:b/>
          <w:spacing w:val="-102"/>
        </w:rPr>
        <w:t xml:space="preserve"> </w:t>
      </w:r>
      <w:r>
        <w:rPr>
          <w:b/>
        </w:rPr>
        <w:t>人</w:t>
      </w:r>
      <w:r>
        <w:rPr>
          <w:b/>
          <w:spacing w:val="-103"/>
        </w:rPr>
        <w:t xml:space="preserve"> </w:t>
      </w:r>
      <w:r>
        <w:rPr>
          <w:b/>
          <w:spacing w:val="18"/>
        </w:rPr>
        <w:t>须</w:t>
      </w:r>
      <w:r>
        <w:rPr>
          <w:b/>
        </w:rPr>
        <w:t>知</w:t>
      </w:r>
      <w:r>
        <w:rPr>
          <w:b/>
          <w:spacing w:val="-102"/>
        </w:rPr>
        <w:t xml:space="preserve"> </w:t>
      </w:r>
      <w:r>
        <w:rPr>
          <w:b/>
        </w:rPr>
        <w:t>前</w:t>
      </w:r>
      <w:r>
        <w:rPr>
          <w:b/>
          <w:spacing w:val="-103"/>
        </w:rPr>
        <w:t xml:space="preserve"> </w:t>
      </w:r>
      <w:r>
        <w:rPr>
          <w:b/>
        </w:rPr>
        <w:t>附</w:t>
      </w:r>
      <w:r>
        <w:rPr>
          <w:b/>
          <w:spacing w:val="-102"/>
        </w:rPr>
        <w:t xml:space="preserve"> </w:t>
      </w:r>
      <w:r>
        <w:rPr>
          <w:b/>
        </w:rPr>
        <w:t>表</w:t>
      </w:r>
      <w:r>
        <w:rPr>
          <w:b/>
          <w:spacing w:val="-101"/>
        </w:rPr>
        <w:t xml:space="preserve"> </w:t>
      </w:r>
      <w:r>
        <w:t>”规定的</w:t>
      </w:r>
      <w:r>
        <w:rPr>
          <w:spacing w:val="-3"/>
        </w:rPr>
        <w:t>招</w:t>
      </w:r>
      <w:r>
        <w:t>标文件澄清要求递交的截止时间以前提出</w:t>
      </w:r>
      <w:r>
        <w:rPr>
          <w:spacing w:val="-39"/>
        </w:rPr>
        <w:t>。</w:t>
      </w:r>
      <w:r>
        <w:t>对于没有提出澄清又参与了该项目的投标</w:t>
      </w:r>
      <w:r>
        <w:rPr>
          <w:spacing w:val="-41"/>
        </w:rPr>
        <w:t>人</w:t>
      </w:r>
      <w:r>
        <w:rPr>
          <w:spacing w:val="2"/>
        </w:rPr>
        <w:t>（</w:t>
      </w:r>
      <w:r>
        <w:t>即供应商</w:t>
      </w:r>
      <w:r>
        <w:rPr>
          <w:spacing w:val="-41"/>
        </w:rPr>
        <w:t>）</w:t>
      </w:r>
      <w:r>
        <w:t>将被</w:t>
      </w:r>
      <w:r>
        <w:rPr>
          <w:spacing w:val="-3"/>
        </w:rPr>
        <w:t>视</w:t>
      </w:r>
      <w:r>
        <w:t>为 完全认同该项目的招标文件，投标开始后不再受理针对招标文件的相关质疑及投诉。</w:t>
      </w:r>
    </w:p>
    <w:p>
      <w:pPr>
        <w:pStyle w:val="Heading4"/>
        <w:kinsoku w:val="0"/>
        <w:overflowPunct w:val="0"/>
        <w:spacing w:line="366" w:lineRule="exact"/>
        <w:rPr>
          <w:rFonts w:hint="default"/>
          <w:spacing w:val="-1"/>
        </w:rPr>
      </w:pPr>
      <w:r>
        <w:rPr>
          <w:rFonts w:ascii="Times New Roman" w:eastAsia="Times New Roman" w:hint="default"/>
          <w:spacing w:val="-1"/>
        </w:rPr>
        <w:t>7</w:t>
      </w:r>
      <w:r>
        <w:rPr>
          <w:spacing w:val="-1"/>
        </w:rPr>
        <w:t>、招标文件的修改</w:t>
      </w:r>
    </w:p>
    <w:p>
      <w:pPr>
        <w:kinsoku w:val="0"/>
        <w:overflowPunct w:val="0"/>
        <w:spacing w:before="105" w:line="339" w:lineRule="auto"/>
        <w:ind w:left="147" w:right="237" w:firstLine="480"/>
        <w:jc w:val="both"/>
        <w:rPr>
          <w:rFonts w:hint="default"/>
        </w:rPr>
      </w:pPr>
      <w:r>
        <w:rPr>
          <w:rFonts w:ascii="宋体" w:hAnsi="宋体"/>
        </w:rPr>
        <w:t>7.1</w:t>
      </w:r>
      <w:r>
        <w:rPr>
          <w:rFonts w:ascii="宋体" w:hAnsi="宋体"/>
          <w:spacing w:val="-52"/>
        </w:rPr>
        <w:t xml:space="preserve"> </w:t>
      </w:r>
      <w:r>
        <w:rPr>
          <w:rFonts w:ascii="宋体" w:hAnsi="宋体"/>
        </w:rPr>
        <w:t>在“</w:t>
      </w:r>
      <w:r>
        <w:rPr>
          <w:rFonts w:ascii="宋体" w:hAnsi="宋体"/>
          <w:b/>
        </w:rPr>
        <w:t>投</w:t>
      </w:r>
      <w:r>
        <w:rPr>
          <w:rFonts w:ascii="宋体" w:hAnsi="宋体"/>
          <w:b/>
          <w:spacing w:val="-102"/>
        </w:rPr>
        <w:t xml:space="preserve"> </w:t>
      </w:r>
      <w:r>
        <w:rPr>
          <w:rFonts w:ascii="宋体" w:hAnsi="宋体"/>
          <w:b/>
        </w:rPr>
        <w:t>标</w:t>
      </w:r>
      <w:r>
        <w:rPr>
          <w:rFonts w:ascii="宋体" w:hAnsi="宋体"/>
          <w:b/>
          <w:spacing w:val="-102"/>
        </w:rPr>
        <w:t xml:space="preserve"> </w:t>
      </w:r>
      <w:r>
        <w:rPr>
          <w:rFonts w:ascii="宋体" w:hAnsi="宋体"/>
          <w:b/>
        </w:rPr>
        <w:t>人</w:t>
      </w:r>
      <w:r>
        <w:rPr>
          <w:rFonts w:ascii="宋体" w:hAnsi="宋体"/>
          <w:b/>
          <w:spacing w:val="-101"/>
        </w:rPr>
        <w:t xml:space="preserve"> </w:t>
      </w:r>
      <w:r>
        <w:rPr>
          <w:rFonts w:ascii="宋体" w:hAnsi="宋体"/>
          <w:b/>
          <w:spacing w:val="12"/>
        </w:rPr>
        <w:t>须知前</w:t>
      </w:r>
      <w:r>
        <w:rPr>
          <w:rFonts w:ascii="宋体" w:hAnsi="宋体"/>
          <w:b/>
          <w:spacing w:val="-102"/>
        </w:rPr>
        <w:t xml:space="preserve"> </w:t>
      </w:r>
      <w:r>
        <w:rPr>
          <w:rFonts w:ascii="宋体" w:hAnsi="宋体"/>
          <w:b/>
        </w:rPr>
        <w:t>附</w:t>
      </w:r>
      <w:r>
        <w:rPr>
          <w:rFonts w:ascii="宋体" w:hAnsi="宋体"/>
          <w:b/>
          <w:spacing w:val="-102"/>
        </w:rPr>
        <w:t xml:space="preserve"> </w:t>
      </w:r>
      <w:r>
        <w:rPr>
          <w:rFonts w:ascii="宋体" w:hAnsi="宋体"/>
          <w:b/>
        </w:rPr>
        <w:t>表</w:t>
      </w:r>
      <w:r>
        <w:rPr>
          <w:rFonts w:ascii="宋体" w:hAnsi="宋体"/>
          <w:b/>
          <w:spacing w:val="-100"/>
        </w:rPr>
        <w:t xml:space="preserve"> </w:t>
      </w:r>
      <w:r>
        <w:rPr>
          <w:rFonts w:ascii="宋体" w:hAnsi="宋体"/>
          <w:spacing w:val="-1"/>
        </w:rPr>
        <w:t>”规定的招标文件修改截止时间以前，招标单位可对已</w:t>
      </w:r>
      <w:r>
        <w:rPr>
          <w:rFonts w:ascii="宋体" w:hAnsi="宋体"/>
          <w:spacing w:val="42"/>
        </w:rPr>
        <w:t xml:space="preserve"> </w:t>
      </w:r>
      <w:r>
        <w:rPr>
          <w:rFonts w:ascii="宋体" w:hAnsi="宋体"/>
        </w:rPr>
        <w:t>发的招标文件进行必要澄清或者修改。</w:t>
      </w:r>
    </w:p>
    <w:p>
      <w:pPr>
        <w:pStyle w:val="BodyText"/>
        <w:kinsoku w:val="0"/>
        <w:overflowPunct w:val="0"/>
        <w:spacing w:line="334" w:lineRule="auto"/>
        <w:ind w:right="234" w:firstLine="480"/>
        <w:jc w:val="both"/>
        <w:rPr>
          <w:rFonts w:hint="default"/>
        </w:rPr>
      </w:pPr>
      <w:r>
        <w:t>7.2</w:t>
      </w:r>
      <w:r>
        <w:rPr>
          <w:spacing w:val="-61"/>
        </w:rPr>
        <w:t xml:space="preserve"> </w:t>
      </w:r>
      <w:r>
        <w:t>招标单位在投标截止时间前对招标文件所作的补充</w:t>
      </w:r>
      <w:r>
        <w:rPr>
          <w:spacing w:val="-29"/>
        </w:rPr>
        <w:t>、</w:t>
      </w:r>
      <w:r>
        <w:t>修改或者更正</w:t>
      </w:r>
      <w:r>
        <w:rPr>
          <w:spacing w:val="-29"/>
        </w:rPr>
        <w:t>、</w:t>
      </w:r>
      <w:r>
        <w:t>澄清一并构 成招标文件的组成部分</w:t>
      </w:r>
      <w:r>
        <w:rPr>
          <w:spacing w:val="-24"/>
        </w:rPr>
        <w:t>。</w:t>
      </w:r>
      <w:r>
        <w:t>招标文件的修</w:t>
      </w:r>
      <w:r>
        <w:rPr>
          <w:spacing w:val="1"/>
        </w:rPr>
        <w:t>改</w:t>
      </w:r>
      <w:r>
        <w:t>须</w:t>
      </w:r>
      <w:r>
        <w:rPr>
          <w:spacing w:val="-24"/>
        </w:rPr>
        <w:t>在</w:t>
      </w:r>
      <w:r>
        <w:t>《云南省政府采购网</w:t>
      </w:r>
      <w:r>
        <w:rPr>
          <w:spacing w:val="-24"/>
        </w:rPr>
        <w:t>》</w:t>
      </w:r>
      <w:r>
        <w:rPr>
          <w:spacing w:val="-48"/>
        </w:rPr>
        <w:t>、</w:t>
      </w:r>
      <w:r>
        <w:t>《云南省公共资源</w:t>
      </w:r>
      <w:r>
        <w:rPr>
          <w:spacing w:val="-2"/>
        </w:rPr>
        <w:t>交易信息平台网》</w:t>
      </w:r>
      <w:r>
        <w:rPr>
          <w:rFonts w:ascii="Times New Roman" w:eastAsia="Times New Roman" w:hint="default"/>
          <w:spacing w:val="-2"/>
        </w:rPr>
        <w:t>,</w:t>
      </w:r>
      <w:r>
        <w:rPr>
          <w:rFonts w:ascii="Times New Roman" w:eastAsia="Times New Roman" w:hint="default"/>
          <w:spacing w:val="45"/>
        </w:rPr>
        <w:t xml:space="preserve"> </w:t>
      </w:r>
      <w:r>
        <w:rPr>
          <w:spacing w:val="-1"/>
        </w:rPr>
        <w:t>《怒江州公共资源交易电子服务系统》发布修改公告，并通过电子招</w:t>
      </w:r>
      <w:r>
        <w:rPr>
          <w:spacing w:val="26"/>
        </w:rPr>
        <w:t xml:space="preserve"> </w:t>
      </w:r>
      <w:r>
        <w:t>标投标交易平台通知所有购买招标文件的投标人，并对其具有约束力。</w:t>
      </w:r>
    </w:p>
    <w:p>
      <w:pPr>
        <w:pStyle w:val="BodyText"/>
        <w:kinsoku w:val="0"/>
        <w:overflowPunct w:val="0"/>
        <w:spacing w:before="37" w:line="334" w:lineRule="auto"/>
        <w:ind w:right="234" w:firstLine="480"/>
        <w:jc w:val="both"/>
        <w:rPr>
          <w:rFonts w:eastAsia="Times New Roman" w:hint="default"/>
          <w:sz w:val="20"/>
        </w:rPr>
      </w:pPr>
      <w:r>
        <w:t>7.3</w:t>
      </w:r>
      <w:r>
        <w:rPr>
          <w:spacing w:val="-61"/>
        </w:rPr>
        <w:t xml:space="preserve"> </w:t>
      </w:r>
      <w:r>
        <w:t>为使投标人编写投标文件时有充分时间对招标文件的修改部分进行研究</w:t>
      </w:r>
      <w:r>
        <w:rPr>
          <w:spacing w:val="-60"/>
        </w:rPr>
        <w:t>，</w:t>
      </w:r>
      <w:r>
        <w:t>招标单位可以自行决定</w:t>
      </w:r>
      <w:r>
        <w:rPr>
          <w:spacing w:val="-20"/>
        </w:rPr>
        <w:t>，</w:t>
      </w:r>
      <w:r>
        <w:t>酌情延长投</w:t>
      </w:r>
      <w:r>
        <w:rPr>
          <w:spacing w:val="1"/>
        </w:rPr>
        <w:t>标</w:t>
      </w:r>
      <w:r>
        <w:t>截止日期</w:t>
      </w:r>
      <w:r>
        <w:rPr>
          <w:spacing w:val="-20"/>
        </w:rPr>
        <w:t>，在</w:t>
      </w:r>
      <w:r>
        <w:t>《云南省政府采购网</w:t>
      </w:r>
      <w:r>
        <w:rPr>
          <w:spacing w:val="-20"/>
        </w:rPr>
        <w:t>》</w:t>
      </w:r>
      <w:r>
        <w:rPr>
          <w:spacing w:val="-39"/>
        </w:rPr>
        <w:t>、</w:t>
      </w:r>
      <w:r>
        <w:t>《云南省公共</w:t>
      </w:r>
      <w:r>
        <w:rPr>
          <w:spacing w:val="-3"/>
        </w:rPr>
        <w:t>资</w:t>
      </w:r>
      <w:r>
        <w:t>源</w:t>
      </w:r>
      <w:r>
        <w:rPr>
          <w:spacing w:val="-2"/>
        </w:rPr>
        <w:t>交易信息平台网》</w:t>
      </w:r>
      <w:r>
        <w:rPr>
          <w:rFonts w:ascii="Times New Roman" w:eastAsia="Times New Roman" w:hint="default"/>
          <w:spacing w:val="-2"/>
        </w:rPr>
        <w:t>,</w:t>
      </w:r>
      <w:r>
        <w:rPr>
          <w:rFonts w:ascii="Times New Roman" w:eastAsia="Times New Roman" w:hint="default"/>
          <w:spacing w:val="45"/>
        </w:rPr>
        <w:t xml:space="preserve"> </w:t>
      </w:r>
      <w:r>
        <w:rPr>
          <w:spacing w:val="-1"/>
        </w:rPr>
        <w:t>《怒江州公共资源交易电子服务系统》发布延期公告，并通过电子招</w:t>
      </w:r>
      <w:r>
        <w:t>标投标交易平台通知所有购买招标文件的投标人。</w:t>
      </w:r>
    </w:p>
    <w:p>
      <w:pPr>
        <w:pStyle w:val="Heading2"/>
        <w:tabs>
          <w:tab w:val="clear" w:pos="360"/>
          <w:tab w:val="left" w:pos="1021"/>
        </w:tabs>
        <w:kinsoku w:val="0"/>
        <w:overflowPunct w:val="0"/>
        <w:spacing w:before="5"/>
        <w:rPr>
          <w:rFonts w:eastAsia="Times New Roman" w:hint="default"/>
          <w:sz w:val="32"/>
        </w:rPr>
      </w:pPr>
      <w:bookmarkStart w:id="11" w:name="_Toc13477"/>
      <w:r>
        <w:rPr>
          <w:spacing w:val="1"/>
          <w:sz w:val="32"/>
        </w:rPr>
        <w:t>三、投标文件的编制</w:t>
      </w:r>
      <w:bookmarkEnd w:id="11"/>
    </w:p>
    <w:p>
      <w:pPr>
        <w:pStyle w:val="Heading4"/>
        <w:kinsoku w:val="0"/>
        <w:overflowPunct w:val="0"/>
        <w:rPr>
          <w:rFonts w:hint="default"/>
          <w:spacing w:val="-1"/>
        </w:rPr>
      </w:pPr>
      <w:r>
        <w:rPr>
          <w:rFonts w:ascii="Times New Roman" w:eastAsia="Times New Roman" w:hint="default"/>
          <w:spacing w:val="-1"/>
        </w:rPr>
        <w:t>8</w:t>
      </w:r>
      <w:r>
        <w:rPr>
          <w:spacing w:val="-1"/>
        </w:rPr>
        <w:t>、投标的语言及度量衡单位</w:t>
      </w:r>
    </w:p>
    <w:p>
      <w:pPr>
        <w:pStyle w:val="BodyText"/>
        <w:kinsoku w:val="0"/>
        <w:overflowPunct w:val="0"/>
        <w:spacing w:before="102" w:line="340" w:lineRule="auto"/>
        <w:ind w:right="118" w:firstLine="480"/>
        <w:rPr>
          <w:rFonts w:hint="default"/>
        </w:rPr>
      </w:pPr>
      <w:r>
        <w:t>8.1</w:t>
      </w:r>
      <w:r>
        <w:rPr>
          <w:spacing w:val="2"/>
        </w:rPr>
        <w:t xml:space="preserve"> 投标人提交的投标文件以及投标人与招标代理机构就有关投标的所有来往函电</w:t>
      </w:r>
      <w:r>
        <w:rPr>
          <w:spacing w:val="56"/>
        </w:rPr>
        <w:t xml:space="preserve"> </w:t>
      </w:r>
      <w:r>
        <w:t>均应使用中文。投标人可以提交用其他语言打印的资料，但有关的段落必须翻译成中文， 在有差异和矛盾时以中文为准。字体要便于辨识，以正楷、宋体为好。</w:t>
      </w:r>
    </w:p>
    <w:p>
      <w:pPr>
        <w:pStyle w:val="BodyText"/>
        <w:kinsoku w:val="0"/>
        <w:overflowPunct w:val="0"/>
        <w:spacing w:before="28" w:line="339" w:lineRule="auto"/>
        <w:ind w:firstLine="511"/>
        <w:rPr>
          <w:rFonts w:hint="default"/>
        </w:rPr>
      </w:pPr>
      <w:r>
        <w:t>8.2</w:t>
      </w:r>
      <w:r>
        <w:rPr>
          <w:spacing w:val="2"/>
        </w:rPr>
        <w:t xml:space="preserve"> 用非中文版印刷的产品说明书、技术资料、资格资质证书等，投标人应提供符</w:t>
      </w:r>
      <w:r>
        <w:rPr>
          <w:spacing w:val="30"/>
        </w:rPr>
        <w:t xml:space="preserve"> </w:t>
      </w:r>
      <w:r>
        <w:t>合中国有关法律、法规的中文译本，并以中文译本为准。</w:t>
      </w:r>
    </w:p>
    <w:p>
      <w:pPr>
        <w:pStyle w:val="BodyText"/>
        <w:kinsoku w:val="0"/>
        <w:overflowPunct w:val="0"/>
        <w:spacing w:before="31" w:line="339" w:lineRule="auto"/>
        <w:ind w:firstLine="511"/>
        <w:rPr>
          <w:rFonts w:hint="default"/>
        </w:rPr>
      </w:pPr>
      <w:r>
        <w:t>8.3</w:t>
      </w:r>
      <w:r>
        <w:rPr>
          <w:spacing w:val="2"/>
        </w:rPr>
        <w:t xml:space="preserve"> 投标文件中所使用的度量衡单位，除招标文件中有特殊要求外，一律用法定计</w:t>
      </w:r>
      <w:r>
        <w:rPr>
          <w:spacing w:val="28"/>
        </w:rPr>
        <w:t xml:space="preserve"> </w:t>
      </w:r>
      <w:r>
        <w:t>量单位。</w:t>
      </w:r>
    </w:p>
    <w:p>
      <w:pPr>
        <w:pStyle w:val="BodyText"/>
        <w:kinsoku w:val="0"/>
        <w:overflowPunct w:val="0"/>
        <w:spacing w:before="30" w:line="341" w:lineRule="auto"/>
        <w:ind w:firstLine="511"/>
        <w:rPr>
          <w:rFonts w:hint="default"/>
        </w:rPr>
      </w:pPr>
      <w:r>
        <w:t>8.4</w:t>
      </w:r>
      <w:r>
        <w:rPr>
          <w:spacing w:val="-61"/>
        </w:rPr>
        <w:t xml:space="preserve"> </w:t>
      </w:r>
      <w:r>
        <w:t>投标文件要求签章的内容详见投标人须知前附表。</w:t>
      </w:r>
    </w:p>
    <w:p>
      <w:pPr>
        <w:pStyle w:val="BodyText"/>
        <w:kinsoku w:val="0"/>
        <w:overflowPunct w:val="0"/>
        <w:spacing w:before="27" w:line="322" w:lineRule="auto"/>
        <w:rPr>
          <w:rFonts w:ascii="黑体" w:eastAsia="黑体" w:hAnsi="黑体" w:hint="default"/>
          <w:spacing w:val="-1"/>
          <w:sz w:val="28"/>
        </w:rPr>
      </w:pPr>
      <w:r>
        <w:rPr>
          <w:rFonts w:ascii="Times New Roman" w:eastAsia="Times New Roman" w:hint="default"/>
          <w:spacing w:val="-1"/>
          <w:sz w:val="28"/>
        </w:rPr>
        <w:t>9</w:t>
      </w:r>
      <w:r>
        <w:rPr>
          <w:rFonts w:ascii="黑体" w:eastAsia="黑体" w:hAnsi="黑体"/>
          <w:spacing w:val="-1"/>
          <w:sz w:val="28"/>
        </w:rPr>
        <w:t>、投标文件的构成</w:t>
      </w:r>
    </w:p>
    <w:p>
      <w:pPr>
        <w:pStyle w:val="BodyText"/>
        <w:kinsoku w:val="0"/>
        <w:overflowPunct w:val="0"/>
        <w:spacing w:before="0" w:line="339" w:lineRule="auto"/>
        <w:ind w:right="114" w:firstLine="480"/>
        <w:rPr>
          <w:rFonts w:hint="default"/>
        </w:rPr>
      </w:pPr>
      <w:r>
        <w:t>9.1</w:t>
      </w:r>
      <w:r>
        <w:rPr>
          <w:spacing w:val="-61"/>
        </w:rPr>
        <w:t xml:space="preserve"> </w:t>
      </w:r>
      <w:r>
        <w:rPr>
          <w:spacing w:val="-2"/>
        </w:rPr>
        <w:t>投标文件全部采用电子文档，由资格审查文件、商务标部分文件、技术标部分文</w:t>
      </w:r>
      <w:r>
        <w:t>件组成。</w:t>
      </w:r>
    </w:p>
    <w:p>
      <w:pPr>
        <w:pStyle w:val="BodyText"/>
        <w:kinsoku w:val="0"/>
        <w:overflowPunct w:val="0"/>
        <w:spacing w:before="31" w:line="340" w:lineRule="auto"/>
        <w:ind w:right="114" w:firstLine="480"/>
        <w:rPr>
          <w:rFonts w:hint="default"/>
        </w:rPr>
      </w:pPr>
      <w:r>
        <w:t>9.2</w:t>
      </w:r>
      <w:r>
        <w:rPr>
          <w:spacing w:val="-61"/>
        </w:rPr>
        <w:t xml:space="preserve"> </w:t>
      </w:r>
      <w:r>
        <w:t>如投标人提交的电子标书不符合</w:t>
      </w:r>
      <w:r>
        <w:rPr>
          <w:spacing w:val="-60"/>
        </w:rPr>
        <w:t xml:space="preserve"> </w:t>
      </w:r>
      <w:r>
        <w:t>9.1</w:t>
      </w:r>
      <w:r>
        <w:rPr>
          <w:spacing w:val="-60"/>
        </w:rPr>
        <w:t xml:space="preserve"> </w:t>
      </w:r>
      <w:r>
        <w:t>要求或开标时无法读取导入或解密</w:t>
      </w:r>
      <w:r>
        <w:rPr>
          <w:spacing w:val="-60"/>
        </w:rPr>
        <w:t>，</w:t>
      </w:r>
      <w:r>
        <w:t>其投标文件将不予受理。</w:t>
      </w:r>
    </w:p>
    <w:p>
      <w:pPr>
        <w:pStyle w:val="BodyText"/>
        <w:kinsoku w:val="0"/>
        <w:overflowPunct w:val="0"/>
        <w:spacing w:line="341" w:lineRule="auto"/>
        <w:ind w:right="114" w:firstLine="480"/>
        <w:rPr>
          <w:rFonts w:hint="default"/>
        </w:rPr>
      </w:pPr>
      <w:r>
        <w:t>9.3</w:t>
      </w:r>
      <w:r>
        <w:rPr>
          <w:spacing w:val="-61"/>
        </w:rPr>
        <w:t xml:space="preserve"> </w:t>
      </w:r>
      <w:r>
        <w:t>投标文件应当对招标文件有关项目完成时间</w:t>
      </w:r>
      <w:r>
        <w:rPr>
          <w:spacing w:val="-60"/>
        </w:rPr>
        <w:t>、</w:t>
      </w:r>
      <w:r>
        <w:t>投标有效期</w:t>
      </w:r>
      <w:r>
        <w:rPr>
          <w:spacing w:val="-60"/>
        </w:rPr>
        <w:t>、</w:t>
      </w:r>
      <w:r>
        <w:t>质量要求</w:t>
      </w:r>
      <w:r>
        <w:rPr>
          <w:spacing w:val="-60"/>
        </w:rPr>
        <w:t>、</w:t>
      </w:r>
      <w:r>
        <w:t>技术要求、招标范围等实质性内容作出响应。</w:t>
      </w:r>
    </w:p>
    <w:p>
      <w:pPr>
        <w:pStyle w:val="BodyText"/>
        <w:kinsoku w:val="0"/>
        <w:overflowPunct w:val="0"/>
        <w:spacing w:before="27"/>
        <w:ind w:left="628"/>
        <w:rPr>
          <w:rFonts w:hint="default"/>
        </w:rPr>
      </w:pPr>
      <w:r>
        <w:t>9.4</w:t>
      </w:r>
      <w:r>
        <w:rPr>
          <w:spacing w:val="-61"/>
        </w:rPr>
        <w:t xml:space="preserve"> </w:t>
      </w:r>
      <w:r>
        <w:t>投标文件的签署：见投标人须知前附表。</w:t>
      </w:r>
    </w:p>
    <w:p>
      <w:pPr>
        <w:pStyle w:val="BodyText"/>
        <w:kinsoku w:val="0"/>
        <w:overflowPunct w:val="0"/>
        <w:spacing w:before="129" w:line="340" w:lineRule="auto"/>
        <w:ind w:right="234" w:firstLine="480"/>
        <w:jc w:val="both"/>
        <w:rPr>
          <w:rFonts w:hint="default"/>
        </w:rPr>
      </w:pPr>
      <w:r>
        <w:t>9.6</w:t>
      </w:r>
      <w:r>
        <w:rPr>
          <w:spacing w:val="-41"/>
        </w:rPr>
        <w:t xml:space="preserve"> </w:t>
      </w:r>
      <w:r>
        <w:t>光刻录时，请使用正规刻录软件进行刻录</w:t>
      </w:r>
      <w:r>
        <w:rPr>
          <w:spacing w:val="-40"/>
        </w:rPr>
        <w:t xml:space="preserve"> </w:t>
      </w:r>
      <w:r>
        <w:t>CD</w:t>
      </w:r>
      <w:r>
        <w:rPr>
          <w:spacing w:val="-41"/>
        </w:rPr>
        <w:t xml:space="preserve"> </w:t>
      </w:r>
      <w:r>
        <w:t>光盘，不要对电子投标文件进行压缩</w:t>
      </w:r>
      <w:r>
        <w:rPr>
          <w:spacing w:val="-41"/>
        </w:rPr>
        <w:t>，</w:t>
      </w:r>
      <w:r>
        <w:t>光盘刻录完成</w:t>
      </w:r>
      <w:r>
        <w:rPr>
          <w:spacing w:val="2"/>
        </w:rPr>
        <w:t>后</w:t>
      </w:r>
      <w:r>
        <w:rPr>
          <w:spacing w:val="-41"/>
        </w:rPr>
        <w:t>，</w:t>
      </w:r>
      <w:r>
        <w:t>应检验光盘刻录的</w:t>
      </w:r>
      <w:r>
        <w:rPr>
          <w:spacing w:val="2"/>
        </w:rPr>
        <w:t>质</w:t>
      </w:r>
      <w:r>
        <w:t>量</w:t>
      </w:r>
      <w:r>
        <w:rPr>
          <w:spacing w:val="-41"/>
        </w:rPr>
        <w:t>，</w:t>
      </w:r>
      <w:r>
        <w:t>检验光盘时不要</w:t>
      </w:r>
      <w:r>
        <w:rPr>
          <w:spacing w:val="2"/>
        </w:rPr>
        <w:t>在</w:t>
      </w:r>
      <w:r>
        <w:t>本机的刻录光驱</w:t>
      </w:r>
      <w:r>
        <w:rPr>
          <w:spacing w:val="-3"/>
        </w:rPr>
        <w:t>上</w:t>
      </w:r>
      <w:r>
        <w:t>进</w:t>
      </w:r>
      <w:r>
        <w:rPr>
          <w:spacing w:val="-4"/>
        </w:rPr>
        <w:t>行，将刻录好的光盘用另外一台电脑的“只读光驱”进行读取测试。测试的方法：将刻录</w:t>
      </w:r>
      <w:r>
        <w:t>光盘上的投标文件数据拷贝到</w:t>
      </w:r>
      <w:r>
        <w:rPr>
          <w:spacing w:val="1"/>
        </w:rPr>
        <w:t>电</w:t>
      </w:r>
      <w:r>
        <w:t>脑硬盘上</w:t>
      </w:r>
      <w:r>
        <w:rPr>
          <w:spacing w:val="-60"/>
        </w:rPr>
        <w:t>，</w:t>
      </w:r>
      <w:r>
        <w:t>检查拷贝是否成功</w:t>
      </w:r>
      <w:r>
        <w:rPr>
          <w:spacing w:val="-60"/>
        </w:rPr>
        <w:t>，</w:t>
      </w:r>
      <w:r>
        <w:t>同时使用相应标书文件编制系统或查看工具中的【查看标书】功能对刻录后光盘中的电子标书文件进行查看。</w:t>
      </w:r>
    </w:p>
    <w:p>
      <w:pPr>
        <w:pStyle w:val="Heading4"/>
        <w:kinsoku w:val="0"/>
        <w:overflowPunct w:val="0"/>
        <w:spacing w:line="366" w:lineRule="exact"/>
        <w:rPr>
          <w:rFonts w:hint="default"/>
          <w:spacing w:val="-1"/>
        </w:rPr>
      </w:pPr>
      <w:r>
        <w:rPr>
          <w:rFonts w:ascii="Times New Roman" w:eastAsia="Times New Roman" w:hint="default"/>
          <w:spacing w:val="-1"/>
        </w:rPr>
        <w:t>10</w:t>
      </w:r>
      <w:r>
        <w:rPr>
          <w:spacing w:val="-1"/>
        </w:rPr>
        <w:t>、投标报价</w:t>
      </w:r>
    </w:p>
    <w:p>
      <w:pPr>
        <w:pStyle w:val="BodyText"/>
        <w:kinsoku w:val="0"/>
        <w:overflowPunct w:val="0"/>
        <w:spacing w:before="102" w:line="341" w:lineRule="auto"/>
        <w:ind w:right="114" w:firstLine="480"/>
        <w:rPr>
          <w:rFonts w:hint="default"/>
        </w:rPr>
      </w:pPr>
      <w:r>
        <w:t>10.1</w:t>
      </w:r>
      <w:r>
        <w:rPr>
          <w:spacing w:val="-1"/>
        </w:rPr>
        <w:t xml:space="preserve"> </w:t>
      </w:r>
      <w:r>
        <w:t>报价应为人民币含税价，进口货物以外汇报价应有汇率、折扣以及最终人民币报价，无人民币报价或报价无法折算成人民币的投标属无效投标。</w:t>
      </w:r>
    </w:p>
    <w:p>
      <w:pPr>
        <w:pStyle w:val="BodyText"/>
        <w:kinsoku w:val="0"/>
        <w:overflowPunct w:val="0"/>
        <w:spacing w:before="27" w:line="339" w:lineRule="auto"/>
        <w:ind w:right="114" w:firstLine="480"/>
        <w:rPr>
          <w:rFonts w:hint="default"/>
          <w:sz w:val="22"/>
        </w:rPr>
      </w:pPr>
      <w:r>
        <w:t>10.2</w:t>
      </w:r>
      <w:r>
        <w:rPr>
          <w:spacing w:val="-1"/>
        </w:rPr>
        <w:t xml:space="preserve"> </w:t>
      </w:r>
      <w:r>
        <w:t>投标人应在投标文件中的《投标报价明细表》标明拟提供货物的单价和总价，并且此单价均为使用地交货价。</w:t>
      </w:r>
    </w:p>
    <w:p>
      <w:pPr>
        <w:kinsoku w:val="0"/>
        <w:overflowPunct w:val="0"/>
        <w:spacing w:before="29" w:line="340" w:lineRule="auto"/>
        <w:ind w:left="147" w:right="114" w:firstLine="480"/>
        <w:rPr>
          <w:rFonts w:hint="default"/>
        </w:rPr>
      </w:pPr>
      <w:r>
        <w:rPr>
          <w:rFonts w:ascii="宋体" w:hAnsi="宋体"/>
        </w:rPr>
        <w:t>10.3</w:t>
      </w:r>
      <w:r>
        <w:rPr>
          <w:rFonts w:ascii="宋体" w:hAnsi="宋体"/>
          <w:spacing w:val="-22"/>
        </w:rPr>
        <w:t xml:space="preserve"> </w:t>
      </w:r>
      <w:r>
        <w:rPr>
          <w:rFonts w:ascii="宋体" w:hAnsi="宋体"/>
        </w:rPr>
        <w:t>任何有选择的报价将不予接受，每种货物只允许有一个报价。</w:t>
      </w:r>
      <w:r>
        <w:rPr>
          <w:rFonts w:ascii="宋体" w:hAnsi="宋体"/>
          <w:b/>
        </w:rPr>
        <w:t>投标人对同一投</w:t>
      </w:r>
      <w:r>
        <w:rPr>
          <w:rFonts w:ascii="宋体" w:hAnsi="宋体"/>
          <w:b/>
          <w:spacing w:val="27"/>
          <w:w w:val="99"/>
        </w:rPr>
        <w:t xml:space="preserve"> </w:t>
      </w:r>
      <w:r>
        <w:rPr>
          <w:rFonts w:ascii="宋体" w:hAnsi="宋体"/>
          <w:b/>
          <w:spacing w:val="-1"/>
          <w:w w:val="95"/>
        </w:rPr>
        <w:t>标项目报价有两个（含两个）以上报价且未书面声明以哪个为准，所投单项按废标处理。</w:t>
      </w:r>
    </w:p>
    <w:p>
      <w:pPr>
        <w:pStyle w:val="BodyText"/>
        <w:kinsoku w:val="0"/>
        <w:overflowPunct w:val="0"/>
        <w:spacing w:line="341" w:lineRule="auto"/>
        <w:ind w:right="114" w:firstLine="480"/>
        <w:rPr>
          <w:rFonts w:hint="default"/>
        </w:rPr>
      </w:pPr>
      <w:r>
        <w:t>10.4</w:t>
      </w:r>
      <w:r>
        <w:rPr>
          <w:spacing w:val="-1"/>
        </w:rPr>
        <w:t xml:space="preserve"> </w:t>
      </w:r>
      <w:r>
        <w:t>投标报价表中标明的价格在合同执行过程中是固定不变的，不得以任何理由予以变更。以可调整的价格提交的投标将作为非响应性投标而予以拒绝。</w:t>
      </w:r>
    </w:p>
    <w:p>
      <w:pPr>
        <w:pStyle w:val="BodyText"/>
        <w:kinsoku w:val="0"/>
        <w:overflowPunct w:val="0"/>
        <w:spacing w:before="27" w:line="339" w:lineRule="auto"/>
        <w:ind w:firstLine="480"/>
        <w:rPr>
          <w:rFonts w:hint="default"/>
        </w:rPr>
      </w:pPr>
      <w:r>
        <w:t>10.5</w:t>
      </w:r>
      <w:r>
        <w:rPr>
          <w:spacing w:val="-61"/>
        </w:rPr>
        <w:t xml:space="preserve"> </w:t>
      </w:r>
      <w:r>
        <w:rPr>
          <w:spacing w:val="-2"/>
        </w:rPr>
        <w:t>投标人不得哄抬报价，也不应低于成本价（或进价）</w:t>
      </w:r>
      <w:r>
        <w:rPr>
          <w:spacing w:val="-11"/>
        </w:rPr>
        <w:t xml:space="preserve"> </w:t>
      </w:r>
      <w:r>
        <w:rPr>
          <w:spacing w:val="-3"/>
        </w:rPr>
        <w:t>报价，否则一经查实，其</w:t>
      </w:r>
      <w:r>
        <w:t>投标将可能被拒绝或被宣布为废标。</w:t>
      </w:r>
    </w:p>
    <w:p>
      <w:pPr>
        <w:pStyle w:val="Heading4"/>
        <w:kinsoku w:val="0"/>
        <w:overflowPunct w:val="0"/>
        <w:spacing w:line="369" w:lineRule="exact"/>
        <w:rPr>
          <w:rFonts w:hint="default"/>
          <w:spacing w:val="-2"/>
        </w:rPr>
      </w:pPr>
      <w:r>
        <w:rPr>
          <w:rFonts w:ascii="Times New Roman" w:eastAsia="Times New Roman" w:hint="default"/>
          <w:spacing w:val="-2"/>
        </w:rPr>
        <w:t>11</w:t>
      </w:r>
      <w:r>
        <w:rPr>
          <w:spacing w:val="-2"/>
        </w:rPr>
        <w:t>、证明投标人合格和资格的材料</w:t>
      </w:r>
    </w:p>
    <w:p>
      <w:pPr>
        <w:pStyle w:val="Heading6"/>
        <w:kinsoku w:val="0"/>
        <w:overflowPunct w:val="0"/>
        <w:spacing w:before="102"/>
        <w:ind w:left="630"/>
        <w:rPr>
          <w:rFonts w:hint="default"/>
          <w:b w:val="0"/>
        </w:rPr>
      </w:pPr>
      <w:r>
        <w:rPr>
          <w:w w:val="95"/>
        </w:rPr>
        <w:t xml:space="preserve">11.1 </w:t>
      </w:r>
      <w:r>
        <w:rPr>
          <w:spacing w:val="7"/>
          <w:w w:val="95"/>
        </w:rPr>
        <w:t xml:space="preserve"> </w:t>
      </w:r>
      <w:r>
        <w:rPr>
          <w:w w:val="95"/>
        </w:rPr>
        <w:t>证明投标人合格和资格的材料包括：</w:t>
      </w:r>
    </w:p>
    <w:p>
      <w:pPr>
        <w:pStyle w:val="BodyText"/>
        <w:rPr>
          <w:rFonts w:hint="default"/>
          <w:sz w:val="21"/>
          <w:szCs w:val="21"/>
          <w:shd w:val="clear" w:color="auto" w:fill="FFFFFF"/>
        </w:rPr>
      </w:pPr>
      <w:r>
        <w:rPr>
          <w:sz w:val="21"/>
          <w:szCs w:val="21"/>
          <w:shd w:val="clear" w:color="auto" w:fill="FFFFFF"/>
        </w:rPr>
        <w:t>（1）具有独立承担民事责任的能力；</w:t>
      </w:r>
    </w:p>
    <w:p>
      <w:pPr>
        <w:pStyle w:val="BodyText"/>
        <w:rPr>
          <w:rFonts w:hint="default"/>
          <w:sz w:val="21"/>
          <w:szCs w:val="21"/>
          <w:shd w:val="clear" w:color="auto" w:fill="FFFFFF"/>
        </w:rPr>
      </w:pPr>
      <w:r>
        <w:rPr>
          <w:sz w:val="21"/>
          <w:szCs w:val="21"/>
          <w:shd w:val="clear" w:color="auto" w:fill="FFFFFF"/>
        </w:rPr>
        <w:t>（2）财务状况报告，依法缴纳税收和社会保障资金的相关材料；</w:t>
      </w:r>
    </w:p>
    <w:p>
      <w:pPr>
        <w:pStyle w:val="BodyText"/>
        <w:rPr>
          <w:rFonts w:hint="default"/>
          <w:sz w:val="21"/>
          <w:szCs w:val="21"/>
          <w:shd w:val="clear" w:color="auto" w:fill="FFFFFF"/>
        </w:rPr>
      </w:pPr>
      <w:r>
        <w:rPr>
          <w:sz w:val="21"/>
          <w:szCs w:val="21"/>
          <w:shd w:val="clear" w:color="auto" w:fill="FFFFFF"/>
        </w:rPr>
        <w:t>（3）具备履行合同所必需的专业衣物和专业技术能力和生产制造场地的证明材料；</w:t>
      </w:r>
    </w:p>
    <w:p>
      <w:pPr>
        <w:pStyle w:val="BodyText"/>
        <w:rPr>
          <w:rFonts w:hint="default"/>
          <w:sz w:val="21"/>
          <w:szCs w:val="21"/>
          <w:shd w:val="clear" w:color="auto" w:fill="FFFFFF"/>
        </w:rPr>
      </w:pPr>
      <w:r>
        <w:rPr>
          <w:sz w:val="21"/>
          <w:szCs w:val="21"/>
          <w:shd w:val="clear" w:color="auto" w:fill="FFFFFF"/>
        </w:rPr>
        <w:t>（4）参加政府采购活动前3年内，在经营活动中没有重大违法记录的书面声明；</w:t>
      </w:r>
    </w:p>
    <w:p>
      <w:pPr>
        <w:pStyle w:val="BodyText"/>
        <w:rPr>
          <w:rFonts w:hint="default"/>
          <w:sz w:val="21"/>
          <w:szCs w:val="21"/>
          <w:shd w:val="clear" w:color="auto" w:fill="FFFFFF"/>
        </w:rPr>
      </w:pPr>
      <w:r>
        <w:rPr>
          <w:sz w:val="21"/>
          <w:szCs w:val="21"/>
          <w:shd w:val="clear" w:color="auto" w:fill="FFFFFF"/>
        </w:rPr>
        <w:t xml:space="preserve">（5）按照《政府采购货物和服务招标投标管理办法》(财政部令第87号)、《财政部关于在政府采购活动中查询及使用信用记录有关问题的通知》(财库[2016]125号)相关要求，投标人应在“信用中国”网站(www.creditchina.gov.cn)未被列入失信被执行人记录、重大税收违法案件当事人名单且在中国政府采购网(www.ccgp.gov.cn)没有政府采购严重违法失信行为记录(被禁止在一定期限内参加政府采购活动但期限届满的除外)，参与本项目的投标人信用查询截止时点： 本项目招标公告发布之日起至投标截止时间，提供查询结果网页截图。 </w:t>
      </w:r>
    </w:p>
    <w:p>
      <w:pPr>
        <w:pStyle w:val="BodyText"/>
        <w:rPr>
          <w:rFonts w:hint="default"/>
          <w:sz w:val="21"/>
          <w:szCs w:val="21"/>
          <w:shd w:val="clear" w:color="auto" w:fill="FFFFFF"/>
        </w:rPr>
      </w:pPr>
      <w:r>
        <w:rPr>
          <w:sz w:val="21"/>
          <w:szCs w:val="21"/>
          <w:shd w:val="clear" w:color="auto" w:fill="FFFFFF"/>
        </w:rPr>
        <w:t xml:space="preserve">（6）投标人近三年无行贿犯罪记录，以“中国裁判文书网”查询结果为准。      </w:t>
      </w:r>
    </w:p>
    <w:p>
      <w:pPr>
        <w:pStyle w:val="BodyText"/>
        <w:rPr>
          <w:rFonts w:hint="default"/>
          <w:sz w:val="21"/>
          <w:szCs w:val="21"/>
          <w:shd w:val="clear" w:color="auto" w:fill="FFFFFF"/>
        </w:rPr>
      </w:pPr>
      <w:r>
        <w:rPr>
          <w:sz w:val="21"/>
          <w:szCs w:val="21"/>
          <w:shd w:val="clear" w:color="auto" w:fill="FFFFFF"/>
        </w:rPr>
        <w:t>（7）本项目不接受联合体投标，投标人不得超出经营范围进行投标。</w:t>
      </w:r>
    </w:p>
    <w:p>
      <w:pPr>
        <w:pStyle w:val="BodyText"/>
        <w:kinsoku w:val="0"/>
        <w:overflowPunct w:val="0"/>
        <w:spacing w:before="110" w:line="340" w:lineRule="auto"/>
        <w:ind w:right="234" w:firstLine="120"/>
        <w:jc w:val="both"/>
        <w:rPr>
          <w:rFonts w:hint="default"/>
        </w:rPr>
      </w:pPr>
      <w:r>
        <w:t>11.2</w:t>
      </w:r>
      <w:r>
        <w:rPr>
          <w:spacing w:val="-60"/>
        </w:rPr>
        <w:t xml:space="preserve"> </w:t>
      </w:r>
      <w:r>
        <w:rPr>
          <w:spacing w:val="-2"/>
        </w:rPr>
        <w:t>如果投标供应商是新成立（或注册）的公司，不能提供上述一些证明材料，则需要</w:t>
      </w:r>
      <w:r>
        <w:t>出具相关的说明材料</w:t>
      </w:r>
      <w:r>
        <w:rPr>
          <w:spacing w:val="-120"/>
        </w:rPr>
        <w:t>；</w:t>
      </w:r>
      <w:r>
        <w:t>如果由于公司商务活动的原因或证件的查审导致不能提交一些证件</w:t>
      </w:r>
      <w:r>
        <w:rPr>
          <w:spacing w:val="1"/>
          <w:w w:val="95"/>
        </w:rPr>
        <w:t>的原件，则需要相关的证明材料。</w:t>
      </w:r>
      <w:r>
        <w:rPr>
          <w:b/>
          <w:spacing w:val="1"/>
          <w:w w:val="95"/>
          <w:u w:val="single"/>
        </w:rPr>
        <w:t>所提供的说明材料及证明材料须保证真实无误（如果</w:t>
      </w:r>
      <w:r>
        <w:rPr>
          <w:b/>
          <w:spacing w:val="2"/>
          <w:u w:val="single"/>
        </w:rPr>
        <w:t>有）</w:t>
      </w:r>
      <w:r>
        <w:rPr>
          <w:spacing w:val="2"/>
        </w:rPr>
        <w:t>，如有不实后果自负，一经查实，则按照《中华人民共和国政府采购法》第七十七</w:t>
      </w:r>
      <w:r>
        <w:rPr>
          <w:spacing w:val="42"/>
        </w:rPr>
        <w:t xml:space="preserve"> </w:t>
      </w:r>
      <w:r>
        <w:t>条进行处罚。</w:t>
      </w:r>
    </w:p>
    <w:p>
      <w:pPr>
        <w:pStyle w:val="Heading4"/>
        <w:kinsoku w:val="0"/>
        <w:overflowPunct w:val="0"/>
        <w:spacing w:line="365" w:lineRule="exact"/>
        <w:rPr>
          <w:rFonts w:hint="default"/>
          <w:spacing w:val="-1"/>
        </w:rPr>
      </w:pPr>
      <w:r>
        <w:rPr>
          <w:rFonts w:ascii="Times New Roman" w:eastAsia="Times New Roman" w:hint="default"/>
          <w:spacing w:val="-1"/>
        </w:rPr>
        <w:t>13</w:t>
      </w:r>
      <w:r>
        <w:rPr>
          <w:spacing w:val="-1"/>
        </w:rPr>
        <w:t>、投标保证金</w:t>
      </w:r>
    </w:p>
    <w:p>
      <w:pPr>
        <w:pStyle w:val="BodyText"/>
        <w:kinsoku w:val="0"/>
        <w:overflowPunct w:val="0"/>
        <w:spacing w:before="102" w:line="340" w:lineRule="auto"/>
        <w:ind w:right="236" w:firstLine="480"/>
        <w:jc w:val="both"/>
        <w:rPr>
          <w:rFonts w:hint="default"/>
        </w:rPr>
      </w:pPr>
      <w:r>
        <w:t>13.1</w:t>
      </w:r>
      <w:r>
        <w:rPr>
          <w:spacing w:val="-1"/>
        </w:rPr>
        <w:t xml:space="preserve"> </w:t>
      </w:r>
      <w:r>
        <w:t>投标保证金作为投标文件的组成部分，投标人应按招标文件所附《投标保</w:t>
      </w:r>
      <w:r>
        <w:rPr>
          <w:spacing w:val="2"/>
        </w:rPr>
        <w:t>证金格式》填写，并按招标文件“</w:t>
      </w:r>
      <w:r>
        <w:rPr>
          <w:b/>
          <w:spacing w:val="2"/>
        </w:rPr>
        <w:t>投标人须知前附表</w:t>
      </w:r>
      <w:r>
        <w:rPr>
          <w:spacing w:val="2"/>
        </w:rPr>
        <w:t>”项所规定数额、时限提交投标保</w:t>
      </w:r>
      <w:r>
        <w:t>证金。</w:t>
      </w:r>
    </w:p>
    <w:p>
      <w:pPr>
        <w:pStyle w:val="BodyText"/>
        <w:kinsoku w:val="0"/>
        <w:overflowPunct w:val="0"/>
        <w:spacing w:before="28"/>
        <w:ind w:left="628"/>
        <w:rPr>
          <w:rFonts w:hint="default"/>
        </w:rPr>
      </w:pPr>
      <w:r>
        <w:t>13.2</w:t>
      </w:r>
      <w:r>
        <w:rPr>
          <w:spacing w:val="-1"/>
        </w:rPr>
        <w:t xml:space="preserve"> </w:t>
      </w:r>
      <w:r>
        <w:t>投标保证金必须从投标人的基本账户划出。</w:t>
      </w:r>
    </w:p>
    <w:p>
      <w:pPr>
        <w:pStyle w:val="BodyText"/>
        <w:kinsoku w:val="0"/>
        <w:overflowPunct w:val="0"/>
        <w:spacing w:before="131"/>
        <w:ind w:left="628"/>
        <w:rPr>
          <w:rFonts w:hint="default"/>
          <w:sz w:val="22"/>
        </w:rPr>
      </w:pPr>
      <w:r>
        <w:rPr>
          <w:spacing w:val="-1"/>
        </w:rPr>
        <w:t>13.3</w:t>
      </w:r>
      <w:r>
        <w:t xml:space="preserve"> 投标保证金转账方式仅限电汇、网银方式，其他转账方式视为无效。</w:t>
      </w:r>
    </w:p>
    <w:p>
      <w:pPr>
        <w:kinsoku w:val="0"/>
        <w:overflowPunct w:val="0"/>
        <w:spacing w:before="29" w:line="340" w:lineRule="auto"/>
        <w:ind w:left="630" w:right="2358" w:hanging="3"/>
        <w:rPr>
          <w:rFonts w:ascii="宋体" w:hAnsi="宋体" w:hint="default"/>
          <w:szCs w:val="22"/>
        </w:rPr>
      </w:pPr>
      <w:r>
        <w:rPr>
          <w:rFonts w:ascii="宋体" w:hAnsi="宋体"/>
          <w:spacing w:val="-1"/>
        </w:rPr>
        <w:t>13.4</w:t>
      </w:r>
      <w:r>
        <w:rPr>
          <w:rFonts w:ascii="宋体" w:hAnsi="宋体"/>
        </w:rPr>
        <w:t xml:space="preserve"> 投标保证金应交至</w:t>
      </w:r>
      <w:r>
        <w:rPr>
          <w:rFonts w:ascii="宋体" w:hAnsi="宋体"/>
          <w:szCs w:val="22"/>
        </w:rPr>
        <w:t>福贡县政务服务管理局</w:t>
      </w:r>
    </w:p>
    <w:p>
      <w:pPr>
        <w:pStyle w:val="BodyText"/>
        <w:kinsoku w:val="0"/>
        <w:overflowPunct w:val="0"/>
        <w:spacing w:before="28" w:line="341" w:lineRule="auto"/>
        <w:ind w:right="114" w:firstLine="480"/>
        <w:rPr>
          <w:rFonts w:hint="default"/>
        </w:rPr>
      </w:pPr>
      <w:r>
        <w:t>13.5</w:t>
      </w:r>
      <w:r>
        <w:rPr>
          <w:spacing w:val="-1"/>
        </w:rPr>
        <w:t xml:space="preserve"> </w:t>
      </w:r>
      <w:r>
        <w:t>投标保证金截止时间为投标文件递交截止时间，到账时间以保证金专用账户实际到账时间为准，未按时到账的保证金无效。</w:t>
      </w:r>
    </w:p>
    <w:p>
      <w:pPr>
        <w:pStyle w:val="BodyText"/>
        <w:kinsoku w:val="0"/>
        <w:overflowPunct w:val="0"/>
        <w:spacing w:before="27"/>
        <w:ind w:left="628"/>
        <w:rPr>
          <w:rFonts w:hint="default"/>
        </w:rPr>
      </w:pPr>
      <w:r>
        <w:t>13.6</w:t>
      </w:r>
      <w:r>
        <w:rPr>
          <w:spacing w:val="-1"/>
        </w:rPr>
        <w:t xml:space="preserve"> </w:t>
      </w:r>
      <w:r>
        <w:t>拒绝私人账户汇款及银行存现。</w:t>
      </w:r>
    </w:p>
    <w:p>
      <w:pPr>
        <w:pStyle w:val="BodyText"/>
        <w:kinsoku w:val="0"/>
        <w:overflowPunct w:val="0"/>
        <w:spacing w:before="129" w:line="340" w:lineRule="auto"/>
        <w:ind w:right="118" w:firstLine="480"/>
        <w:rPr>
          <w:rFonts w:hint="default"/>
        </w:rPr>
      </w:pPr>
      <w:r>
        <w:t>13.7</w:t>
      </w:r>
      <w:r>
        <w:rPr>
          <w:spacing w:val="-1"/>
        </w:rPr>
        <w:t xml:space="preserve"> </w:t>
      </w:r>
      <w:r>
        <w:t>投标人转账到投标保证金专项银行账户后，需要使用数字证书（CA）登陆“怒江州公共资源交易中心网”对所投标项目标段进行投标保证金金额对应。如不进行对应， 将无法对本项目投标。</w:t>
      </w:r>
    </w:p>
    <w:p>
      <w:pPr>
        <w:pStyle w:val="BodyText"/>
        <w:kinsoku w:val="0"/>
        <w:overflowPunct w:val="0"/>
        <w:spacing w:before="28" w:line="341" w:lineRule="auto"/>
        <w:ind w:right="114" w:firstLine="480"/>
        <w:rPr>
          <w:rFonts w:hint="default"/>
        </w:rPr>
      </w:pPr>
      <w:r>
        <w:t>请投标人在跨行转账时考虑以下因素：（1）按照人民银行相关规定，跨行转账在工作日下午</w:t>
      </w:r>
      <w:r>
        <w:rPr>
          <w:spacing w:val="-60"/>
        </w:rPr>
        <w:t xml:space="preserve"> </w:t>
      </w:r>
      <w:r>
        <w:t>4</w:t>
      </w:r>
      <w:r>
        <w:rPr>
          <w:spacing w:val="-60"/>
        </w:rPr>
        <w:t xml:space="preserve"> </w:t>
      </w:r>
      <w:r>
        <w:t>点半前办理手续</w:t>
      </w:r>
      <w:r>
        <w:rPr>
          <w:spacing w:val="-29"/>
        </w:rPr>
        <w:t>，</w:t>
      </w:r>
      <w:r>
        <w:t>可以保证实时跨行到账</w:t>
      </w:r>
      <w:r>
        <w:rPr>
          <w:spacing w:val="-58"/>
        </w:rPr>
        <w:t>；</w:t>
      </w:r>
      <w:r>
        <w:rPr>
          <w:spacing w:val="1"/>
        </w:rPr>
        <w:t>（</w:t>
      </w:r>
      <w:r>
        <w:t>2</w:t>
      </w:r>
      <w:r>
        <w:rPr>
          <w:spacing w:val="-29"/>
        </w:rPr>
        <w:t>）</w:t>
      </w:r>
      <w:r>
        <w:t>跨行转</w:t>
      </w:r>
      <w:r>
        <w:rPr>
          <w:spacing w:val="-3"/>
        </w:rPr>
        <w:t>账</w:t>
      </w:r>
      <w:r>
        <w:t>尽量采用电汇方式。</w:t>
      </w:r>
    </w:p>
    <w:p>
      <w:pPr>
        <w:pStyle w:val="BodyText"/>
        <w:kinsoku w:val="0"/>
        <w:overflowPunct w:val="0"/>
        <w:spacing w:before="27"/>
        <w:ind w:left="628"/>
        <w:rPr>
          <w:rFonts w:hint="default"/>
        </w:rPr>
      </w:pPr>
      <w:r>
        <w:rPr>
          <w:spacing w:val="-1"/>
        </w:rPr>
        <w:t>13.8</w:t>
      </w:r>
      <w:r>
        <w:t xml:space="preserve"> 未中标的投标人的投标保证金在发出中标通知书后</w:t>
      </w:r>
      <w:r>
        <w:rPr>
          <w:spacing w:val="-59"/>
        </w:rPr>
        <w:t xml:space="preserve"> </w:t>
      </w:r>
      <w:r>
        <w:t>5</w:t>
      </w:r>
      <w:r>
        <w:rPr>
          <w:spacing w:val="-60"/>
        </w:rPr>
        <w:t xml:space="preserve"> </w:t>
      </w:r>
      <w:r>
        <w:t>个工作日内退还；中标人</w:t>
      </w:r>
    </w:p>
    <w:p>
      <w:pPr>
        <w:pStyle w:val="BodyText"/>
        <w:kinsoku w:val="0"/>
        <w:overflowPunct w:val="0"/>
        <w:spacing w:before="129" w:line="341" w:lineRule="auto"/>
        <w:rPr>
          <w:rFonts w:hint="default"/>
        </w:rPr>
      </w:pPr>
      <w:r>
        <w:t>的投标保证金</w:t>
      </w:r>
      <w:r>
        <w:rPr>
          <w:spacing w:val="-120"/>
        </w:rPr>
        <w:t>，</w:t>
      </w:r>
      <w:r>
        <w:t>在中标人按规定签订合同并交纳了要求</w:t>
      </w:r>
      <w:r>
        <w:rPr>
          <w:spacing w:val="1"/>
        </w:rPr>
        <w:t>的</w:t>
      </w:r>
      <w:r>
        <w:t>中标服务费后</w:t>
      </w:r>
      <w:r>
        <w:rPr>
          <w:spacing w:val="-60"/>
        </w:rPr>
        <w:t xml:space="preserve"> </w:t>
      </w:r>
      <w:r>
        <w:t>5</w:t>
      </w:r>
      <w:r>
        <w:rPr>
          <w:spacing w:val="-60"/>
        </w:rPr>
        <w:t xml:space="preserve"> </w:t>
      </w:r>
      <w:r>
        <w:t>个工作日内予以 退还。投标保证金不计利息。</w:t>
      </w:r>
    </w:p>
    <w:p>
      <w:pPr>
        <w:pStyle w:val="BodyText"/>
        <w:kinsoku w:val="0"/>
        <w:overflowPunct w:val="0"/>
        <w:spacing w:before="27"/>
        <w:ind w:left="628"/>
        <w:rPr>
          <w:rFonts w:hint="default"/>
        </w:rPr>
      </w:pPr>
      <w:r>
        <w:rPr>
          <w:spacing w:val="-1"/>
        </w:rPr>
        <w:t>13.9</w:t>
      </w:r>
      <w:r>
        <w:t xml:space="preserve"> 有下列情形之一的，投标保证金不予退还：</w:t>
      </w:r>
    </w:p>
    <w:p>
      <w:pPr>
        <w:pStyle w:val="BodyText"/>
        <w:kinsoku w:val="0"/>
        <w:overflowPunct w:val="0"/>
        <w:spacing w:before="129"/>
        <w:ind w:left="628"/>
        <w:rPr>
          <w:rFonts w:hint="default"/>
          <w:spacing w:val="-1"/>
        </w:rPr>
      </w:pPr>
      <w:r>
        <w:rPr>
          <w:spacing w:val="-1"/>
        </w:rPr>
        <w:t>（1）已缴纳投标保证金，无故不参加投标或者出现不廉洁行为的；</w:t>
      </w:r>
    </w:p>
    <w:p>
      <w:pPr>
        <w:pStyle w:val="BodyText"/>
        <w:kinsoku w:val="0"/>
        <w:overflowPunct w:val="0"/>
        <w:spacing w:before="131" w:line="339" w:lineRule="auto"/>
        <w:ind w:right="114" w:firstLine="480"/>
        <w:rPr>
          <w:rFonts w:hint="default"/>
        </w:rPr>
      </w:pPr>
      <w:r>
        <w:rPr>
          <w:spacing w:val="-1"/>
        </w:rPr>
        <w:t>（2）在提交投标文件截止时间后到招标文件规定的投标文件有效期终止之前，投标</w:t>
      </w:r>
      <w:r>
        <w:t>人撤回投标文件的；</w:t>
      </w:r>
    </w:p>
    <w:p>
      <w:pPr>
        <w:pStyle w:val="BodyText"/>
        <w:kinsoku w:val="0"/>
        <w:overflowPunct w:val="0"/>
        <w:spacing w:line="341" w:lineRule="auto"/>
        <w:ind w:firstLine="480"/>
        <w:rPr>
          <w:rFonts w:hint="default"/>
        </w:rPr>
      </w:pPr>
      <w:r>
        <w:rPr>
          <w:spacing w:val="-1"/>
        </w:rPr>
        <w:t>（3）中标通知书发出后，中标人无故放弃中标项目的、无正当理由不与招标人签订</w:t>
      </w:r>
      <w:r>
        <w:t>合同的、或拒不缴纳所要求的履约保证金的；</w:t>
      </w:r>
    </w:p>
    <w:p>
      <w:pPr>
        <w:pStyle w:val="BodyText"/>
        <w:kinsoku w:val="0"/>
        <w:overflowPunct w:val="0"/>
        <w:spacing w:before="27"/>
        <w:ind w:left="628"/>
        <w:rPr>
          <w:rFonts w:hint="default"/>
          <w:spacing w:val="-1"/>
        </w:rPr>
      </w:pPr>
      <w:r>
        <w:rPr>
          <w:spacing w:val="-1"/>
        </w:rPr>
        <w:t>（4）法律法规或招标文件规定的其他情形。</w:t>
      </w:r>
    </w:p>
    <w:p>
      <w:pPr>
        <w:pStyle w:val="Heading4"/>
        <w:kinsoku w:val="0"/>
        <w:overflowPunct w:val="0"/>
        <w:spacing w:before="82"/>
        <w:rPr>
          <w:rFonts w:hint="default"/>
          <w:spacing w:val="-1"/>
        </w:rPr>
      </w:pPr>
      <w:r>
        <w:rPr>
          <w:rFonts w:ascii="Times New Roman" w:eastAsia="Times New Roman" w:hint="default"/>
          <w:spacing w:val="-1"/>
        </w:rPr>
        <w:t>14</w:t>
      </w:r>
      <w:r>
        <w:rPr>
          <w:spacing w:val="-1"/>
        </w:rPr>
        <w:t>、投标有效期</w:t>
      </w:r>
    </w:p>
    <w:p>
      <w:pPr>
        <w:pStyle w:val="BodyText"/>
        <w:kinsoku w:val="0"/>
        <w:overflowPunct w:val="0"/>
        <w:spacing w:before="104" w:line="339" w:lineRule="auto"/>
        <w:ind w:right="114" w:firstLine="480"/>
        <w:rPr>
          <w:rFonts w:hint="default"/>
        </w:rPr>
      </w:pPr>
      <w:r>
        <w:t>14.1</w:t>
      </w:r>
      <w:r>
        <w:rPr>
          <w:spacing w:val="-21"/>
        </w:rPr>
        <w:t xml:space="preserve"> </w:t>
      </w:r>
      <w:r>
        <w:t>投标文件自开标之日起</w:t>
      </w:r>
      <w:r>
        <w:rPr>
          <w:spacing w:val="-8"/>
        </w:rPr>
        <w:t>，</w:t>
      </w:r>
      <w:r>
        <w:t>在“</w:t>
      </w:r>
      <w:r>
        <w:rPr>
          <w:b/>
          <w:spacing w:val="2"/>
        </w:rPr>
        <w:t>投标</w:t>
      </w:r>
      <w:r>
        <w:rPr>
          <w:b/>
        </w:rPr>
        <w:t>人须</w:t>
      </w:r>
      <w:r>
        <w:rPr>
          <w:b/>
          <w:spacing w:val="2"/>
        </w:rPr>
        <w:t>知</w:t>
      </w:r>
      <w:r>
        <w:rPr>
          <w:b/>
        </w:rPr>
        <w:t>前</w:t>
      </w:r>
      <w:r>
        <w:rPr>
          <w:b/>
          <w:spacing w:val="2"/>
        </w:rPr>
        <w:t>附</w:t>
      </w:r>
      <w:r>
        <w:rPr>
          <w:b/>
          <w:spacing w:val="3"/>
        </w:rPr>
        <w:t>表</w:t>
      </w:r>
      <w:r>
        <w:t>”所规定的</w:t>
      </w:r>
      <w:r>
        <w:rPr>
          <w:spacing w:val="-3"/>
        </w:rPr>
        <w:t>以</w:t>
      </w:r>
      <w:r>
        <w:t>日历天计算的投标有效期内有效。</w:t>
      </w:r>
    </w:p>
    <w:p>
      <w:pPr>
        <w:pStyle w:val="BodyText"/>
        <w:kinsoku w:val="0"/>
        <w:overflowPunct w:val="0"/>
        <w:spacing w:before="30" w:line="336" w:lineRule="auto"/>
        <w:ind w:right="177" w:firstLine="480"/>
        <w:jc w:val="both"/>
        <w:rPr>
          <w:rFonts w:eastAsia="Times New Roman" w:hint="default"/>
          <w:sz w:val="20"/>
        </w:rPr>
      </w:pPr>
      <w:r>
        <w:t>14.2</w:t>
      </w:r>
      <w:r>
        <w:rPr>
          <w:spacing w:val="-1"/>
        </w:rPr>
        <w:t xml:space="preserve"> </w:t>
      </w:r>
      <w:r>
        <w:t xml:space="preserve">在特殊情况下，在原投标有效期期满之前，招标人可征得投标人同意延长投标 </w:t>
      </w:r>
      <w:r>
        <w:rPr>
          <w:spacing w:val="-4"/>
        </w:rPr>
        <w:t>有效期，这种要求与答复均应以书面形式（如信函、电报、传真等），并在《云南省政府</w:t>
      </w:r>
      <w:r>
        <w:t>采购网》、《云南省公共资源交易信息平台网》</w:t>
      </w:r>
      <w:r>
        <w:rPr>
          <w:rFonts w:ascii="Times New Roman" w:eastAsia="Times New Roman" w:hint="default"/>
        </w:rPr>
        <w:t xml:space="preserve">, </w:t>
      </w:r>
      <w:r>
        <w:t>《怒江州公共资源交易电子服务系统》发布公告</w:t>
      </w:r>
      <w:r>
        <w:rPr>
          <w:spacing w:val="-60"/>
        </w:rPr>
        <w:t>。</w:t>
      </w:r>
      <w:r>
        <w:t>投标人可以拒绝招标人的这种要求但不被没收投标保证金</w:t>
      </w:r>
      <w:r>
        <w:rPr>
          <w:spacing w:val="-60"/>
        </w:rPr>
        <w:t>，</w:t>
      </w:r>
      <w:r>
        <w:t>同意延长的投标人既不能被要求也不允许修改其投标文件，但要相应延长其投标保证金的有效期。</w:t>
      </w:r>
    </w:p>
    <w:p>
      <w:pPr>
        <w:pStyle w:val="Heading2"/>
        <w:tabs>
          <w:tab w:val="clear" w:pos="360"/>
          <w:tab w:val="left" w:pos="1021"/>
        </w:tabs>
        <w:kinsoku w:val="0"/>
        <w:overflowPunct w:val="0"/>
        <w:spacing w:before="5"/>
        <w:rPr>
          <w:rFonts w:eastAsia="Times New Roman" w:hint="default"/>
          <w:sz w:val="32"/>
        </w:rPr>
      </w:pPr>
      <w:bookmarkStart w:id="12" w:name="_Toc14858"/>
      <w:r>
        <w:rPr>
          <w:spacing w:val="1"/>
          <w:sz w:val="32"/>
        </w:rPr>
        <w:t>四、投标文件的递交</w:t>
      </w:r>
      <w:bookmarkEnd w:id="12"/>
    </w:p>
    <w:p>
      <w:pPr>
        <w:pStyle w:val="Heading4"/>
        <w:kinsoku w:val="0"/>
        <w:overflowPunct w:val="0"/>
        <w:rPr>
          <w:rFonts w:hint="default"/>
          <w:spacing w:val="-1"/>
        </w:rPr>
      </w:pPr>
      <w:r>
        <w:rPr>
          <w:rFonts w:ascii="Times New Roman" w:eastAsia="Times New Roman" w:hint="default"/>
          <w:spacing w:val="-1"/>
        </w:rPr>
        <w:t>15</w:t>
      </w:r>
      <w:r>
        <w:rPr>
          <w:spacing w:val="-1"/>
        </w:rPr>
        <w:t>、投标文件的加密、密封和标记</w:t>
      </w:r>
    </w:p>
    <w:p>
      <w:pPr>
        <w:pStyle w:val="BodyText"/>
        <w:kinsoku w:val="0"/>
        <w:overflowPunct w:val="0"/>
        <w:spacing w:before="102"/>
        <w:ind w:left="628"/>
        <w:rPr>
          <w:rFonts w:hint="default"/>
        </w:rPr>
      </w:pPr>
      <w:r>
        <w:t>15.1</w:t>
      </w:r>
      <w:r>
        <w:rPr>
          <w:spacing w:val="-61"/>
        </w:rPr>
        <w:t xml:space="preserve"> </w:t>
      </w:r>
      <w:r>
        <w:t>网上递交的投标文件需要对投标文件进行加密。</w:t>
      </w:r>
    </w:p>
    <w:p>
      <w:pPr>
        <w:pStyle w:val="BodyText"/>
        <w:kinsoku w:val="0"/>
        <w:overflowPunct w:val="0"/>
        <w:spacing w:before="129"/>
        <w:ind w:left="628"/>
        <w:rPr>
          <w:rFonts w:hint="default"/>
        </w:rPr>
      </w:pPr>
      <w:r>
        <w:t>15.2</w:t>
      </w:r>
      <w:r>
        <w:rPr>
          <w:spacing w:val="-61"/>
        </w:rPr>
        <w:t xml:space="preserve"> </w:t>
      </w:r>
      <w:r>
        <w:t>投标人未按规定加密的投标文件，电子招标投标交易平台应当拒收并提示。</w:t>
      </w:r>
    </w:p>
    <w:p>
      <w:pPr>
        <w:pStyle w:val="BodyText"/>
        <w:kinsoku w:val="0"/>
        <w:overflowPunct w:val="0"/>
        <w:spacing w:before="131" w:line="339" w:lineRule="auto"/>
        <w:ind w:right="155" w:firstLine="480"/>
        <w:jc w:val="both"/>
        <w:rPr>
          <w:rFonts w:hint="default"/>
        </w:rPr>
      </w:pPr>
      <w:r>
        <w:t>15.3</w:t>
      </w:r>
      <w:r>
        <w:rPr>
          <w:spacing w:val="-1"/>
        </w:rPr>
        <w:t xml:space="preserve"> </w:t>
      </w:r>
      <w:r>
        <w:t>详见投标人须知前附表。</w:t>
      </w:r>
    </w:p>
    <w:p>
      <w:pPr>
        <w:kinsoku w:val="0"/>
        <w:overflowPunct w:val="0"/>
        <w:spacing w:before="31"/>
        <w:ind w:left="628"/>
        <w:rPr>
          <w:rFonts w:hint="default"/>
        </w:rPr>
      </w:pPr>
      <w:r>
        <w:rPr>
          <w:rFonts w:ascii="宋体" w:hAnsi="宋体"/>
        </w:rPr>
        <w:t>15.4</w:t>
      </w:r>
      <w:r>
        <w:rPr>
          <w:rFonts w:ascii="宋体" w:hAnsi="宋体"/>
          <w:spacing w:val="-81"/>
        </w:rPr>
        <w:t xml:space="preserve"> </w:t>
      </w:r>
      <w:r>
        <w:rPr>
          <w:rFonts w:ascii="宋体" w:hAnsi="宋体"/>
        </w:rPr>
        <w:t>投标文件的密封袋上应写明的内容见“</w:t>
      </w:r>
      <w:r>
        <w:rPr>
          <w:rFonts w:ascii="宋体" w:hAnsi="宋体"/>
          <w:b/>
        </w:rPr>
        <w:t>投标人须知前附表</w:t>
      </w:r>
      <w:r>
        <w:rPr>
          <w:rFonts w:ascii="宋体" w:hAnsi="宋体"/>
        </w:rPr>
        <w:t>”。</w:t>
      </w:r>
    </w:p>
    <w:p>
      <w:pPr>
        <w:pStyle w:val="BodyText"/>
        <w:kinsoku w:val="0"/>
        <w:overflowPunct w:val="0"/>
        <w:spacing w:before="129" w:line="340" w:lineRule="auto"/>
        <w:ind w:firstLine="480"/>
        <w:rPr>
          <w:rFonts w:hint="default"/>
        </w:rPr>
      </w:pPr>
      <w:r>
        <w:t>15.5</w:t>
      </w:r>
      <w:r>
        <w:rPr>
          <w:spacing w:val="-49"/>
        </w:rPr>
        <w:t xml:space="preserve"> </w:t>
      </w:r>
      <w:r>
        <w:t>未按本章第</w:t>
      </w:r>
      <w:r>
        <w:rPr>
          <w:spacing w:val="-48"/>
        </w:rPr>
        <w:t xml:space="preserve"> </w:t>
      </w:r>
      <w:r>
        <w:t>15.3</w:t>
      </w:r>
      <w:r>
        <w:rPr>
          <w:spacing w:val="-48"/>
        </w:rPr>
        <w:t xml:space="preserve"> </w:t>
      </w:r>
      <w:r>
        <w:t>项或第</w:t>
      </w:r>
      <w:r>
        <w:rPr>
          <w:spacing w:val="-48"/>
        </w:rPr>
        <w:t xml:space="preserve"> </w:t>
      </w:r>
      <w:r>
        <w:t>15.4</w:t>
      </w:r>
      <w:r>
        <w:rPr>
          <w:spacing w:val="-48"/>
        </w:rPr>
        <w:t xml:space="preserve"> </w:t>
      </w:r>
      <w:r>
        <w:t>项要求密封和加写标记的投标文件，招标人不予受理。</w:t>
      </w:r>
    </w:p>
    <w:p>
      <w:pPr>
        <w:pStyle w:val="Heading4"/>
        <w:kinsoku w:val="0"/>
        <w:overflowPunct w:val="0"/>
        <w:spacing w:line="368" w:lineRule="exact"/>
        <w:rPr>
          <w:rFonts w:hint="default"/>
          <w:spacing w:val="-1"/>
        </w:rPr>
      </w:pPr>
      <w:r>
        <w:rPr>
          <w:rFonts w:ascii="Times New Roman" w:eastAsia="Times New Roman" w:hint="default"/>
          <w:spacing w:val="-1"/>
        </w:rPr>
        <w:t>16</w:t>
      </w:r>
      <w:r>
        <w:rPr>
          <w:spacing w:val="-1"/>
        </w:rPr>
        <w:t>、投标截止时间及投标文件的提交</w:t>
      </w:r>
    </w:p>
    <w:p>
      <w:pPr>
        <w:kinsoku w:val="0"/>
        <w:overflowPunct w:val="0"/>
        <w:spacing w:before="102"/>
        <w:ind w:left="628"/>
        <w:rPr>
          <w:rFonts w:hint="default"/>
        </w:rPr>
      </w:pPr>
      <w:r>
        <w:rPr>
          <w:rFonts w:ascii="宋体" w:hAnsi="宋体"/>
        </w:rPr>
        <w:t>16.1</w:t>
      </w:r>
      <w:r>
        <w:rPr>
          <w:rFonts w:ascii="宋体" w:hAnsi="宋体"/>
          <w:spacing w:val="-81"/>
        </w:rPr>
        <w:t xml:space="preserve"> </w:t>
      </w:r>
      <w:r>
        <w:rPr>
          <w:rFonts w:ascii="宋体" w:hAnsi="宋体"/>
        </w:rPr>
        <w:t>投标截止时间：见“</w:t>
      </w:r>
      <w:r>
        <w:rPr>
          <w:rFonts w:ascii="宋体" w:hAnsi="宋体"/>
          <w:b/>
        </w:rPr>
        <w:t>投标人须知前附表</w:t>
      </w:r>
      <w:r>
        <w:rPr>
          <w:rFonts w:ascii="宋体" w:hAnsi="宋体"/>
        </w:rPr>
        <w:t>”。</w:t>
      </w:r>
    </w:p>
    <w:p>
      <w:pPr>
        <w:kinsoku w:val="0"/>
        <w:overflowPunct w:val="0"/>
        <w:spacing w:before="129"/>
        <w:ind w:left="628"/>
        <w:rPr>
          <w:rFonts w:hint="default"/>
        </w:rPr>
      </w:pPr>
      <w:r>
        <w:rPr>
          <w:rFonts w:ascii="宋体" w:hAnsi="宋体"/>
        </w:rPr>
        <w:t>16.2</w:t>
      </w:r>
      <w:r>
        <w:rPr>
          <w:rFonts w:ascii="宋体" w:hAnsi="宋体"/>
          <w:spacing w:val="-81"/>
        </w:rPr>
        <w:t xml:space="preserve"> </w:t>
      </w:r>
      <w:r>
        <w:rPr>
          <w:rFonts w:ascii="宋体" w:hAnsi="宋体"/>
        </w:rPr>
        <w:t>投标文件的提交及份数：见“</w:t>
      </w:r>
      <w:r>
        <w:rPr>
          <w:rFonts w:ascii="宋体" w:hAnsi="宋体"/>
          <w:b/>
        </w:rPr>
        <w:t>投标人须知前附表</w:t>
      </w:r>
      <w:r>
        <w:rPr>
          <w:rFonts w:ascii="宋体" w:hAnsi="宋体"/>
        </w:rPr>
        <w:t>”。</w:t>
      </w:r>
    </w:p>
    <w:p>
      <w:pPr>
        <w:kinsoku w:val="0"/>
        <w:overflowPunct w:val="0"/>
        <w:spacing w:before="131"/>
        <w:ind w:left="628"/>
        <w:rPr>
          <w:rFonts w:hint="default"/>
        </w:rPr>
      </w:pPr>
      <w:r>
        <w:rPr>
          <w:rFonts w:ascii="宋体" w:hAnsi="宋体"/>
        </w:rPr>
        <w:t>16.3</w:t>
      </w:r>
      <w:r>
        <w:rPr>
          <w:rFonts w:ascii="宋体" w:hAnsi="宋体"/>
          <w:spacing w:val="-81"/>
        </w:rPr>
        <w:t xml:space="preserve"> </w:t>
      </w:r>
      <w:r>
        <w:rPr>
          <w:rFonts w:ascii="宋体" w:hAnsi="宋体"/>
        </w:rPr>
        <w:t>光盘现场递交地址：见“</w:t>
      </w:r>
      <w:r>
        <w:rPr>
          <w:rFonts w:ascii="宋体" w:hAnsi="宋体"/>
          <w:b/>
        </w:rPr>
        <w:t>投标人须知前附表</w:t>
      </w:r>
      <w:r>
        <w:rPr>
          <w:rFonts w:ascii="宋体" w:hAnsi="宋体"/>
        </w:rPr>
        <w:t>”。</w:t>
      </w:r>
    </w:p>
    <w:p>
      <w:pPr>
        <w:pStyle w:val="BodyText"/>
        <w:kinsoku w:val="0"/>
        <w:overflowPunct w:val="0"/>
        <w:spacing w:before="129"/>
        <w:ind w:left="628"/>
        <w:rPr>
          <w:rFonts w:hint="default"/>
        </w:rPr>
      </w:pPr>
      <w:r>
        <w:rPr>
          <w:spacing w:val="-1"/>
        </w:rPr>
        <w:t>16.4</w:t>
      </w:r>
      <w:r>
        <w:t xml:space="preserve"> 推迟投标截止时间应通过电子招标投标交易平台通知所有投标人。</w:t>
      </w:r>
    </w:p>
    <w:p>
      <w:pPr>
        <w:pStyle w:val="BodyText"/>
        <w:kinsoku w:val="0"/>
        <w:overflowPunct w:val="0"/>
        <w:spacing w:before="129" w:line="341" w:lineRule="auto"/>
        <w:ind w:firstLine="480"/>
        <w:rPr>
          <w:rFonts w:hint="default"/>
        </w:rPr>
      </w:pPr>
      <w:r>
        <w:rPr>
          <w:spacing w:val="-1"/>
        </w:rPr>
        <w:t>16.5</w:t>
      </w:r>
      <w:r>
        <w:t xml:space="preserve"> 投标截止时间后送交的投标报价或其他实质性内容修正的函件和增加的任何承</w:t>
      </w:r>
      <w:r>
        <w:rPr>
          <w:spacing w:val="23"/>
        </w:rPr>
        <w:t xml:space="preserve"> </w:t>
      </w:r>
      <w:r>
        <w:t>诺不作为评标的依据。</w:t>
      </w:r>
    </w:p>
    <w:p>
      <w:pPr>
        <w:pStyle w:val="BodyText"/>
        <w:kinsoku w:val="0"/>
        <w:overflowPunct w:val="0"/>
        <w:spacing w:before="27"/>
        <w:ind w:left="628"/>
        <w:rPr>
          <w:rFonts w:hint="default"/>
        </w:rPr>
      </w:pPr>
      <w:r>
        <w:rPr>
          <w:spacing w:val="-1"/>
        </w:rPr>
        <w:t>16.6</w:t>
      </w:r>
      <w:r>
        <w:t xml:space="preserve"> 电子招标投标交易平台将拒收投标截止时间后收到的任何投标文件。</w:t>
      </w:r>
    </w:p>
    <w:p>
      <w:pPr>
        <w:pStyle w:val="Heading4"/>
        <w:kinsoku w:val="0"/>
        <w:overflowPunct w:val="0"/>
        <w:spacing w:before="82"/>
        <w:rPr>
          <w:rFonts w:hint="default"/>
          <w:spacing w:val="-1"/>
        </w:rPr>
      </w:pPr>
      <w:r>
        <w:rPr>
          <w:rFonts w:ascii="Times New Roman" w:eastAsia="Times New Roman" w:hint="default"/>
          <w:spacing w:val="-1"/>
        </w:rPr>
        <w:t>17</w:t>
      </w:r>
      <w:r>
        <w:rPr>
          <w:spacing w:val="-1"/>
        </w:rPr>
        <w:t>、投标文件修改和撤回</w:t>
      </w:r>
    </w:p>
    <w:p>
      <w:pPr>
        <w:pStyle w:val="BodyText"/>
        <w:kinsoku w:val="0"/>
        <w:overflowPunct w:val="0"/>
        <w:spacing w:before="104" w:line="339" w:lineRule="auto"/>
        <w:ind w:firstLine="480"/>
        <w:rPr>
          <w:rFonts w:hint="default"/>
        </w:rPr>
      </w:pPr>
      <w:r>
        <w:t>17.1</w:t>
      </w:r>
      <w:r>
        <w:rPr>
          <w:spacing w:val="-1"/>
        </w:rPr>
        <w:t xml:space="preserve"> </w:t>
      </w:r>
      <w:r>
        <w:t>投标人在递交投标文件后，可以补充、修改或者撤回投标文件，但必须在规定 的投标截止时间前完成投标文件的传输递交。</w:t>
      </w:r>
    </w:p>
    <w:p>
      <w:pPr>
        <w:pStyle w:val="BodyText"/>
        <w:kinsoku w:val="0"/>
        <w:overflowPunct w:val="0"/>
        <w:ind w:left="628"/>
        <w:rPr>
          <w:rFonts w:hint="default"/>
        </w:rPr>
      </w:pPr>
      <w:r>
        <w:rPr>
          <w:spacing w:val="-1"/>
        </w:rPr>
        <w:t>17.2</w:t>
      </w:r>
      <w:r>
        <w:t xml:space="preserve"> 在投标截止时间之后，投标人不得对其投标文件做任何修改。</w:t>
      </w:r>
    </w:p>
    <w:p>
      <w:pPr>
        <w:pStyle w:val="BodyText"/>
        <w:kinsoku w:val="0"/>
        <w:overflowPunct w:val="0"/>
        <w:spacing w:before="131" w:line="339" w:lineRule="auto"/>
        <w:ind w:firstLine="480"/>
        <w:rPr>
          <w:rFonts w:hint="default"/>
        </w:rPr>
      </w:pPr>
      <w:r>
        <w:rPr>
          <w:spacing w:val="-1"/>
        </w:rPr>
        <w:t>17.3</w:t>
      </w:r>
      <w:r>
        <w:t xml:space="preserve"> 在投标截止时间至投标有效期期满之间的这段时间内，投标人不得撤回其投标</w:t>
      </w:r>
      <w:r>
        <w:rPr>
          <w:spacing w:val="23"/>
        </w:rPr>
        <w:t xml:space="preserve"> </w:t>
      </w:r>
      <w:r>
        <w:t>文件，否则其投标保证金将被没收。</w:t>
      </w:r>
    </w:p>
    <w:p>
      <w:pPr>
        <w:pStyle w:val="BodyText"/>
        <w:kinsoku w:val="0"/>
        <w:overflowPunct w:val="0"/>
        <w:spacing w:line="341" w:lineRule="auto"/>
        <w:ind w:firstLine="480"/>
        <w:rPr>
          <w:rFonts w:hint="default"/>
        </w:rPr>
      </w:pPr>
      <w:r>
        <w:t>17.4</w:t>
      </w:r>
      <w:r>
        <w:rPr>
          <w:spacing w:val="-1"/>
        </w:rPr>
        <w:t xml:space="preserve"> </w:t>
      </w:r>
      <w:r>
        <w:t>在投标截止时间前，除投标人补充、修改或者撤回投标文件外，任何单位和个 人不得解密、提取投标文件。</w:t>
      </w:r>
    </w:p>
    <w:p>
      <w:pPr>
        <w:pStyle w:val="Heading4"/>
        <w:kinsoku w:val="0"/>
        <w:overflowPunct w:val="0"/>
        <w:spacing w:line="365" w:lineRule="exact"/>
        <w:rPr>
          <w:rFonts w:hint="default"/>
          <w:spacing w:val="-1"/>
          <w:highlight w:val="none"/>
        </w:rPr>
      </w:pPr>
      <w:r>
        <w:rPr>
          <w:rFonts w:ascii="Times New Roman" w:eastAsia="Times New Roman" w:hint="default"/>
          <w:spacing w:val="-1"/>
          <w:highlight w:val="none"/>
        </w:rPr>
        <w:t>18</w:t>
      </w:r>
      <w:r>
        <w:rPr>
          <w:spacing w:val="-1"/>
          <w:highlight w:val="none"/>
        </w:rPr>
        <w:t>、样品的递交</w:t>
      </w:r>
    </w:p>
    <w:p>
      <w:pPr>
        <w:pStyle w:val="BodyText"/>
        <w:kinsoku w:val="0"/>
        <w:overflowPunct w:val="0"/>
        <w:spacing w:before="102"/>
        <w:ind w:left="628"/>
        <w:rPr>
          <w:rFonts w:eastAsia="Times New Roman" w:hint="default"/>
          <w:sz w:val="20"/>
        </w:rPr>
      </w:pPr>
      <w:r>
        <w:rPr>
          <w:color w:val="auto"/>
          <w:highlight w:val="none"/>
        </w:rPr>
        <w:t>18.1需提供样品（</w:t>
      </w:r>
      <w:r>
        <w:rPr>
          <w:color w:val="auto"/>
          <w:spacing w:val="6"/>
          <w:highlight w:val="none"/>
        </w:rPr>
        <w:t>巡护服、野外睡袋、登山鞋、巡护登山包、野外多功能水壶、手电筒）</w:t>
      </w:r>
    </w:p>
    <w:p>
      <w:pPr>
        <w:pStyle w:val="Heading2"/>
        <w:tabs>
          <w:tab w:val="clear" w:pos="360"/>
          <w:tab w:val="left" w:pos="1021"/>
        </w:tabs>
        <w:kinsoku w:val="0"/>
        <w:overflowPunct w:val="0"/>
        <w:spacing w:before="5"/>
        <w:rPr>
          <w:rFonts w:eastAsia="Times New Roman" w:hint="default"/>
          <w:sz w:val="32"/>
        </w:rPr>
      </w:pPr>
      <w:bookmarkStart w:id="13" w:name="_Toc29337"/>
      <w:r>
        <w:rPr>
          <w:spacing w:val="2"/>
          <w:sz w:val="32"/>
        </w:rPr>
        <w:t>五、开标与评标</w:t>
      </w:r>
      <w:bookmarkEnd w:id="13"/>
    </w:p>
    <w:p>
      <w:pPr>
        <w:pStyle w:val="Heading4"/>
        <w:kinsoku w:val="0"/>
        <w:overflowPunct w:val="0"/>
        <w:rPr>
          <w:rFonts w:hint="default"/>
        </w:rPr>
      </w:pPr>
      <w:r>
        <w:rPr>
          <w:rFonts w:ascii="Times New Roman" w:eastAsia="Times New Roman" w:hint="default"/>
        </w:rPr>
        <w:t>19</w:t>
      </w:r>
      <w:r>
        <w:t>、开标</w:t>
      </w:r>
    </w:p>
    <w:p>
      <w:pPr>
        <w:pStyle w:val="BodyText"/>
        <w:kinsoku w:val="0"/>
        <w:overflowPunct w:val="0"/>
        <w:spacing w:before="102" w:line="340" w:lineRule="auto"/>
        <w:ind w:right="236" w:firstLine="480"/>
        <w:jc w:val="both"/>
        <w:rPr>
          <w:rFonts w:hint="default"/>
        </w:rPr>
      </w:pPr>
      <w:r>
        <w:t>19.1</w:t>
      </w:r>
      <w:r>
        <w:rPr>
          <w:spacing w:val="-7"/>
        </w:rPr>
        <w:t xml:space="preserve"> </w:t>
      </w:r>
      <w:r>
        <w:rPr>
          <w:spacing w:val="6"/>
        </w:rPr>
        <w:t>招标代理机构将在“</w:t>
      </w:r>
      <w:r>
        <w:rPr>
          <w:b/>
          <w:spacing w:val="6"/>
        </w:rPr>
        <w:t>投标人须知前附表</w:t>
      </w:r>
      <w:r>
        <w:rPr>
          <w:spacing w:val="6"/>
        </w:rPr>
        <w:t>”规定的开标时间和地点组织公开开</w:t>
      </w:r>
      <w:r>
        <w:rPr>
          <w:spacing w:val="36"/>
        </w:rPr>
        <w:t xml:space="preserve"> </w:t>
      </w:r>
      <w:r>
        <w:rPr>
          <w:spacing w:val="-4"/>
        </w:rPr>
        <w:t>标。招标人代表、投标人代表（法定代表人）及有关工作人员参加，参加开标的投标人代</w:t>
      </w:r>
      <w:r>
        <w:rPr>
          <w:spacing w:val="73"/>
        </w:rPr>
        <w:t xml:space="preserve"> </w:t>
      </w:r>
      <w:r>
        <w:t>表应签名报到以证明其出席，并在“唱标一览表”中签字确认开标结果。</w:t>
      </w:r>
    </w:p>
    <w:p>
      <w:pPr>
        <w:pStyle w:val="BodyText"/>
        <w:kinsoku w:val="0"/>
        <w:overflowPunct w:val="0"/>
        <w:spacing w:before="28" w:line="340" w:lineRule="auto"/>
        <w:ind w:right="118" w:firstLine="480"/>
        <w:rPr>
          <w:rFonts w:hint="default"/>
        </w:rPr>
      </w:pPr>
      <w:r>
        <w:t>19.2</w:t>
      </w:r>
      <w:r>
        <w:rPr>
          <w:spacing w:val="-1"/>
        </w:rPr>
        <w:t xml:space="preserve"> </w:t>
      </w:r>
      <w:r>
        <w:t>开标时，电子招标投标交易平台自动提取所有投标文件，提示招标人和投标人按招标文件规定方式按时在线解密</w:t>
      </w:r>
      <w:r>
        <w:rPr>
          <w:spacing w:val="-120"/>
        </w:rPr>
        <w:t>。</w:t>
      </w:r>
      <w:r>
        <w:t>解密全部完成后</w:t>
      </w:r>
      <w:r>
        <w:rPr>
          <w:spacing w:val="-120"/>
        </w:rPr>
        <w:t>，</w:t>
      </w:r>
      <w:r>
        <w:t>应当向所有投标人公布投标人名称、 投标价格和招标文件规定的其他内容。</w:t>
      </w:r>
    </w:p>
    <w:p>
      <w:pPr>
        <w:pStyle w:val="BodyText"/>
        <w:kinsoku w:val="0"/>
        <w:overflowPunct w:val="0"/>
        <w:spacing w:before="28" w:line="340" w:lineRule="auto"/>
        <w:ind w:right="237" w:firstLine="480"/>
        <w:jc w:val="both"/>
        <w:rPr>
          <w:rFonts w:hint="default"/>
        </w:rPr>
      </w:pPr>
      <w:r>
        <w:t>19.3</w:t>
      </w:r>
      <w:r>
        <w:rPr>
          <w:spacing w:val="-1"/>
        </w:rPr>
        <w:t xml:space="preserve"> </w:t>
      </w:r>
      <w:r>
        <w:t>因投标人原因造成投标文件未解密的，视为撤销其投标文件；因投标人之外的原因造成投标文件未解密的</w:t>
      </w:r>
      <w:r>
        <w:rPr>
          <w:spacing w:val="-60"/>
        </w:rPr>
        <w:t>，</w:t>
      </w:r>
      <w:r>
        <w:t>视为撤回其投标文件</w:t>
      </w:r>
      <w:r>
        <w:rPr>
          <w:spacing w:val="-60"/>
        </w:rPr>
        <w:t>，</w:t>
      </w:r>
      <w:r>
        <w:t>投标人有权要求责任方赔偿因此遭受 的直接损失。部分投标文件未解密的，其他投标文件的开标可以继续进行。</w:t>
      </w:r>
    </w:p>
    <w:p>
      <w:pPr>
        <w:pStyle w:val="Heading6"/>
        <w:kinsoku w:val="0"/>
        <w:overflowPunct w:val="0"/>
        <w:spacing w:before="28"/>
        <w:ind w:left="630"/>
        <w:rPr>
          <w:rFonts w:hint="default"/>
          <w:b w:val="0"/>
        </w:rPr>
      </w:pPr>
      <w:r>
        <w:rPr>
          <w:w w:val="95"/>
        </w:rPr>
        <w:t xml:space="preserve">19.4 </w:t>
      </w:r>
      <w:r>
        <w:rPr>
          <w:spacing w:val="76"/>
          <w:w w:val="95"/>
        </w:rPr>
        <w:t xml:space="preserve"> </w:t>
      </w:r>
      <w:r>
        <w:rPr>
          <w:spacing w:val="10"/>
          <w:w w:val="95"/>
        </w:rPr>
        <w:t>有以下情形之一者，将作为无效投标文件处理：</w:t>
      </w:r>
    </w:p>
    <w:p>
      <w:pPr>
        <w:kinsoku w:val="0"/>
        <w:overflowPunct w:val="0"/>
        <w:spacing w:before="129"/>
        <w:ind w:left="870"/>
        <w:rPr>
          <w:rFonts w:hint="default"/>
        </w:rPr>
      </w:pPr>
      <w:r>
        <w:rPr>
          <w:rFonts w:ascii="宋体" w:hAnsi="宋体"/>
          <w:b/>
        </w:rPr>
        <w:t>（1）投标文件逾期送达的；</w:t>
      </w:r>
    </w:p>
    <w:p>
      <w:pPr>
        <w:kinsoku w:val="0"/>
        <w:overflowPunct w:val="0"/>
        <w:spacing w:before="131"/>
        <w:ind w:left="870"/>
        <w:rPr>
          <w:rFonts w:hint="default"/>
        </w:rPr>
      </w:pPr>
      <w:r>
        <w:rPr>
          <w:rFonts w:ascii="宋体" w:hAnsi="宋体"/>
          <w:b/>
        </w:rPr>
        <w:t>（2）投标文件未按要求加密的；</w:t>
      </w:r>
    </w:p>
    <w:p>
      <w:pPr>
        <w:kinsoku w:val="0"/>
        <w:overflowPunct w:val="0"/>
        <w:spacing w:before="129"/>
        <w:ind w:left="870"/>
        <w:rPr>
          <w:rFonts w:hint="default"/>
        </w:rPr>
      </w:pPr>
      <w:r>
        <w:rPr>
          <w:rFonts w:ascii="宋体" w:hAnsi="宋体"/>
          <w:b/>
        </w:rPr>
        <w:t>（3）没有投标报价的；</w:t>
      </w:r>
    </w:p>
    <w:p>
      <w:pPr>
        <w:kinsoku w:val="0"/>
        <w:overflowPunct w:val="0"/>
        <w:spacing w:before="129"/>
        <w:ind w:left="870"/>
        <w:rPr>
          <w:rFonts w:hint="default"/>
        </w:rPr>
      </w:pPr>
      <w:r>
        <w:rPr>
          <w:rFonts w:ascii="宋体" w:hAnsi="宋体"/>
          <w:b/>
        </w:rPr>
        <w:t>（4）投标文件未按招标文件要求进行电子签名和电子签章的；</w:t>
      </w:r>
    </w:p>
    <w:p>
      <w:pPr>
        <w:kinsoku w:val="0"/>
        <w:overflowPunct w:val="0"/>
        <w:spacing w:before="131"/>
        <w:ind w:left="870"/>
        <w:rPr>
          <w:rFonts w:hint="default"/>
        </w:rPr>
      </w:pPr>
      <w:r>
        <w:rPr>
          <w:rFonts w:ascii="宋体" w:hAnsi="宋体"/>
          <w:b/>
        </w:rPr>
        <w:t>（5）原则上投标文件未按规定的格式、内容和要求填写的；</w:t>
      </w:r>
    </w:p>
    <w:p>
      <w:pPr>
        <w:kinsoku w:val="0"/>
        <w:overflowPunct w:val="0"/>
        <w:spacing w:before="129" w:line="339" w:lineRule="auto"/>
        <w:ind w:left="147" w:right="114" w:firstLine="722"/>
        <w:rPr>
          <w:rFonts w:hint="default"/>
        </w:rPr>
      </w:pPr>
      <w:r>
        <w:rPr>
          <w:rFonts w:ascii="宋体" w:hAnsi="宋体"/>
          <w:b/>
          <w:spacing w:val="-1"/>
          <w:w w:val="95"/>
        </w:rPr>
        <w:t>（6）在一个招标项目中，投标人投报两个或多个标书或有两个或多个报价，又未</w:t>
      </w:r>
      <w:r>
        <w:rPr>
          <w:rFonts w:ascii="宋体" w:hAnsi="宋体"/>
          <w:b/>
        </w:rPr>
        <w:t>书面声明其中哪一个有效的；</w:t>
      </w:r>
    </w:p>
    <w:p>
      <w:pPr>
        <w:kinsoku w:val="0"/>
        <w:overflowPunct w:val="0"/>
        <w:spacing w:before="31"/>
        <w:ind w:left="870"/>
        <w:rPr>
          <w:rFonts w:hint="default"/>
        </w:rPr>
      </w:pPr>
      <w:r>
        <w:rPr>
          <w:rFonts w:ascii="宋体" w:hAnsi="宋体"/>
          <w:b/>
        </w:rPr>
        <w:t>（7）投标人未能按要求提交投标保证金的；</w:t>
      </w:r>
    </w:p>
    <w:p>
      <w:pPr>
        <w:kinsoku w:val="0"/>
        <w:overflowPunct w:val="0"/>
        <w:spacing w:before="129"/>
        <w:ind w:left="870"/>
        <w:rPr>
          <w:rFonts w:hint="default"/>
        </w:rPr>
      </w:pPr>
      <w:r>
        <w:rPr>
          <w:rFonts w:ascii="宋体" w:hAnsi="宋体"/>
          <w:b/>
        </w:rPr>
        <w:t>（8）不同投标人的投标文件是由同一台电脑编制的；</w:t>
      </w:r>
    </w:p>
    <w:p>
      <w:pPr>
        <w:kinsoku w:val="0"/>
        <w:overflowPunct w:val="0"/>
        <w:spacing w:before="129"/>
        <w:ind w:left="870"/>
        <w:rPr>
          <w:rFonts w:hint="default"/>
        </w:rPr>
      </w:pPr>
      <w:r>
        <w:rPr>
          <w:rFonts w:ascii="宋体" w:hAnsi="宋体"/>
          <w:b/>
        </w:rPr>
        <w:t>（9）不同投标人委托同一人投标的；</w:t>
      </w:r>
    </w:p>
    <w:p>
      <w:pPr>
        <w:kinsoku w:val="0"/>
        <w:overflowPunct w:val="0"/>
        <w:spacing w:before="131"/>
        <w:ind w:left="870"/>
        <w:rPr>
          <w:rFonts w:hint="default"/>
        </w:rPr>
      </w:pPr>
      <w:r>
        <w:rPr>
          <w:rFonts w:ascii="宋体" w:hAnsi="宋体"/>
          <w:b/>
          <w:spacing w:val="2"/>
        </w:rPr>
        <w:t>（10）投标人在投标文件上电子签名和电子签章与其他投标人在投标文件上的电子签名和电子签章相同的；</w:t>
      </w:r>
    </w:p>
    <w:p>
      <w:pPr>
        <w:kinsoku w:val="0"/>
        <w:overflowPunct w:val="0"/>
        <w:spacing w:before="129"/>
        <w:ind w:left="870"/>
        <w:rPr>
          <w:rFonts w:hint="default"/>
        </w:rPr>
      </w:pPr>
      <w:r>
        <w:rPr>
          <w:rFonts w:ascii="宋体" w:hAnsi="宋体"/>
          <w:b/>
        </w:rPr>
        <w:t>（11）内容填写不全或者扫描件模糊不清和未按照招标文件提供相应原件的。</w:t>
      </w:r>
    </w:p>
    <w:p>
      <w:pPr>
        <w:kinsoku w:val="0"/>
        <w:overflowPunct w:val="0"/>
        <w:spacing w:before="85"/>
        <w:ind w:left="147"/>
        <w:rPr>
          <w:rFonts w:ascii="黑体" w:eastAsia="黑体" w:hAnsi="黑体" w:hint="default"/>
          <w:sz w:val="28"/>
        </w:rPr>
      </w:pPr>
      <w:r>
        <w:rPr>
          <w:rFonts w:eastAsia="Times New Roman" w:hint="default"/>
          <w:sz w:val="28"/>
        </w:rPr>
        <w:t>20</w:t>
      </w:r>
      <w:r>
        <w:rPr>
          <w:rFonts w:ascii="黑体" w:eastAsia="黑体" w:hAnsi="黑体"/>
          <w:sz w:val="28"/>
        </w:rPr>
        <w:t>、评标</w:t>
      </w:r>
    </w:p>
    <w:p>
      <w:pPr>
        <w:pStyle w:val="BodyText"/>
        <w:kinsoku w:val="0"/>
        <w:overflowPunct w:val="0"/>
        <w:spacing w:before="102" w:line="340" w:lineRule="auto"/>
        <w:ind w:right="114" w:firstLine="480"/>
        <w:rPr>
          <w:rFonts w:hint="default"/>
        </w:rPr>
      </w:pPr>
      <w:r>
        <w:t>20.1</w:t>
      </w:r>
      <w:r>
        <w:rPr>
          <w:spacing w:val="-1"/>
        </w:rPr>
        <w:t xml:space="preserve"> </w:t>
      </w:r>
      <w:r>
        <w:t>招标人根据本次招标采购项目的性质和特点依法组建的评标委员会负责评标，并邀请审计和监督的代表参加</w:t>
      </w:r>
      <w:r>
        <w:rPr>
          <w:spacing w:val="-120"/>
        </w:rPr>
        <w:t>。</w:t>
      </w:r>
      <w:r>
        <w:t>评标委员会由招标人熟悉相关业务的代表</w:t>
      </w:r>
      <w:r>
        <w:rPr>
          <w:spacing w:val="-120"/>
        </w:rPr>
        <w:t>，</w:t>
      </w:r>
      <w:r>
        <w:t>以及有关技术、 经济等方面的专家组成。其中，技术、经济等方面的专家不得少于成员总数的三分之二。</w:t>
      </w:r>
    </w:p>
    <w:p>
      <w:pPr>
        <w:pStyle w:val="BodyText"/>
        <w:kinsoku w:val="0"/>
        <w:overflowPunct w:val="0"/>
        <w:spacing w:before="28"/>
        <w:ind w:left="628"/>
        <w:rPr>
          <w:rFonts w:hint="default"/>
        </w:rPr>
      </w:pPr>
      <w:r>
        <w:t>20.2</w:t>
      </w:r>
      <w:r>
        <w:rPr>
          <w:spacing w:val="-61"/>
        </w:rPr>
        <w:t xml:space="preserve"> </w:t>
      </w:r>
      <w:r>
        <w:t>评标原则：遵循“公平、公正、科学、择优、合法、保密”原则</w:t>
      </w:r>
    </w:p>
    <w:p>
      <w:pPr>
        <w:kinsoku w:val="0"/>
        <w:overflowPunct w:val="0"/>
        <w:spacing w:before="129"/>
        <w:ind w:left="628"/>
        <w:rPr>
          <w:rFonts w:eastAsia="Times New Roman" w:hint="default"/>
          <w:sz w:val="20"/>
        </w:rPr>
      </w:pPr>
      <w:r>
        <w:rPr>
          <w:rFonts w:ascii="宋体" w:hAnsi="宋体"/>
        </w:rPr>
        <w:t>20.3</w:t>
      </w:r>
      <w:r>
        <w:rPr>
          <w:rFonts w:ascii="宋体" w:hAnsi="宋体"/>
          <w:spacing w:val="-81"/>
        </w:rPr>
        <w:t xml:space="preserve"> </w:t>
      </w:r>
      <w:r>
        <w:rPr>
          <w:rFonts w:ascii="宋体" w:hAnsi="宋体"/>
        </w:rPr>
        <w:t>评标方法及评标委员会推荐中标候选人的人数：见“</w:t>
      </w:r>
      <w:r>
        <w:rPr>
          <w:rFonts w:ascii="宋体" w:hAnsi="宋体"/>
          <w:b/>
        </w:rPr>
        <w:t>投标人须知前附表</w:t>
      </w:r>
      <w:r>
        <w:rPr>
          <w:rFonts w:ascii="宋体" w:hAnsi="宋体"/>
        </w:rPr>
        <w:t>”。</w:t>
      </w:r>
    </w:p>
    <w:p>
      <w:pPr>
        <w:kinsoku w:val="0"/>
        <w:overflowPunct w:val="0"/>
        <w:spacing w:before="9" w:line="220" w:lineRule="exact"/>
        <w:rPr>
          <w:rFonts w:eastAsia="Times New Roman" w:hint="default"/>
          <w:sz w:val="22"/>
        </w:rPr>
      </w:pPr>
    </w:p>
    <w:p>
      <w:pPr>
        <w:pStyle w:val="BodyText"/>
        <w:kinsoku w:val="0"/>
        <w:overflowPunct w:val="0"/>
        <w:spacing w:line="340" w:lineRule="auto"/>
        <w:ind w:left="628"/>
        <w:rPr>
          <w:rFonts w:hint="default"/>
        </w:rPr>
      </w:pPr>
      <w:r>
        <w:rPr>
          <w:spacing w:val="-1"/>
        </w:rPr>
        <w:t>20.4</w:t>
      </w:r>
      <w:r>
        <w:rPr>
          <w:spacing w:val="-60"/>
        </w:rPr>
        <w:t xml:space="preserve"> </w:t>
      </w:r>
      <w:r>
        <w:t>评标工作程序评标委员会按照第六章“评标办法”规定的方法</w:t>
      </w:r>
      <w:r>
        <w:rPr>
          <w:spacing w:val="-60"/>
        </w:rPr>
        <w:t>、</w:t>
      </w:r>
      <w:r>
        <w:t>评审因素</w:t>
      </w:r>
      <w:r>
        <w:rPr>
          <w:spacing w:val="-60"/>
        </w:rPr>
        <w:t>、</w:t>
      </w:r>
      <w:r>
        <w:t>标准和程序对投标文件进行评审。第六章“评标办法”没有规定的方法、评审因素和标准，不作为评标依据。</w:t>
      </w:r>
    </w:p>
    <w:p>
      <w:pPr>
        <w:pStyle w:val="BodyText"/>
        <w:kinsoku w:val="0"/>
        <w:overflowPunct w:val="0"/>
        <w:spacing w:line="340" w:lineRule="auto"/>
        <w:ind w:left="628"/>
        <w:rPr>
          <w:rFonts w:hint="default"/>
        </w:rPr>
      </w:pPr>
      <w:r>
        <w:t>20.5本项目评标采用电子评标。</w:t>
      </w:r>
    </w:p>
    <w:p>
      <w:pPr>
        <w:kinsoku w:val="0"/>
        <w:overflowPunct w:val="0"/>
        <w:spacing w:before="131" w:line="339" w:lineRule="auto"/>
        <w:ind w:left="147" w:firstLine="480"/>
        <w:rPr>
          <w:rFonts w:hint="default"/>
        </w:rPr>
      </w:pPr>
      <w:r>
        <w:rPr>
          <w:rFonts w:ascii="宋体" w:hAnsi="宋体"/>
          <w:w w:val="95"/>
        </w:rPr>
        <w:t>（</w:t>
      </w:r>
      <w:r>
        <w:rPr>
          <w:rFonts w:ascii="宋体" w:hAnsi="宋体"/>
          <w:spacing w:val="-1"/>
          <w:w w:val="95"/>
        </w:rPr>
        <w:t>1</w:t>
      </w:r>
      <w:r>
        <w:rPr>
          <w:rFonts w:ascii="宋体" w:hAnsi="宋体"/>
          <w:spacing w:val="-33"/>
          <w:w w:val="95"/>
        </w:rPr>
        <w:t>）</w:t>
      </w:r>
      <w:r>
        <w:rPr>
          <w:rFonts w:ascii="宋体" w:hAnsi="宋体"/>
          <w:w w:val="95"/>
        </w:rPr>
        <w:t>投标文件初</w:t>
      </w:r>
      <w:r>
        <w:rPr>
          <w:rFonts w:ascii="宋体" w:hAnsi="宋体"/>
          <w:spacing w:val="-33"/>
          <w:w w:val="95"/>
        </w:rPr>
        <w:t>审</w:t>
      </w:r>
      <w:r>
        <w:rPr>
          <w:rFonts w:ascii="宋体" w:hAnsi="宋体"/>
          <w:w w:val="95"/>
        </w:rPr>
        <w:t>（</w:t>
      </w:r>
      <w:r>
        <w:rPr>
          <w:rFonts w:ascii="宋体" w:hAnsi="宋体"/>
          <w:spacing w:val="1"/>
          <w:w w:val="95"/>
        </w:rPr>
        <w:t>包</w:t>
      </w:r>
      <w:r>
        <w:rPr>
          <w:rFonts w:ascii="宋体" w:hAnsi="宋体"/>
          <w:w w:val="95"/>
        </w:rPr>
        <w:t>括资格性审查和符合性审查</w:t>
      </w:r>
      <w:r>
        <w:rPr>
          <w:rFonts w:ascii="宋体" w:hAnsi="宋体"/>
          <w:spacing w:val="-33"/>
          <w:w w:val="95"/>
        </w:rPr>
        <w:t>）</w:t>
      </w:r>
      <w:r>
        <w:rPr>
          <w:rFonts w:ascii="宋体" w:hAnsi="宋体"/>
          <w:spacing w:val="-32"/>
          <w:w w:val="95"/>
        </w:rPr>
        <w:t>。</w:t>
      </w:r>
      <w:r>
        <w:rPr>
          <w:rFonts w:ascii="宋体" w:hAnsi="宋体"/>
          <w:b/>
          <w:spacing w:val="1"/>
          <w:w w:val="95"/>
        </w:rPr>
        <w:t>投标</w:t>
      </w:r>
      <w:r>
        <w:rPr>
          <w:rFonts w:ascii="宋体" w:hAnsi="宋体"/>
          <w:b/>
          <w:w w:val="95"/>
        </w:rPr>
        <w:t>人</w:t>
      </w:r>
      <w:r>
        <w:rPr>
          <w:rFonts w:ascii="宋体" w:hAnsi="宋体"/>
          <w:b/>
          <w:spacing w:val="1"/>
          <w:w w:val="95"/>
        </w:rPr>
        <w:t>超</w:t>
      </w:r>
      <w:r>
        <w:rPr>
          <w:rFonts w:ascii="宋体" w:hAnsi="宋体"/>
          <w:b/>
          <w:w w:val="95"/>
        </w:rPr>
        <w:t>出经</w:t>
      </w:r>
      <w:r>
        <w:rPr>
          <w:rFonts w:ascii="宋体" w:hAnsi="宋体"/>
          <w:b/>
          <w:spacing w:val="1"/>
          <w:w w:val="95"/>
        </w:rPr>
        <w:t>营</w:t>
      </w:r>
      <w:r>
        <w:rPr>
          <w:rFonts w:ascii="宋体" w:hAnsi="宋体"/>
          <w:b/>
          <w:w w:val="95"/>
        </w:rPr>
        <w:t>范</w:t>
      </w:r>
      <w:r>
        <w:rPr>
          <w:rFonts w:ascii="宋体" w:hAnsi="宋体"/>
          <w:b/>
          <w:spacing w:val="1"/>
          <w:w w:val="95"/>
        </w:rPr>
        <w:t>围</w:t>
      </w:r>
      <w:r>
        <w:rPr>
          <w:rFonts w:ascii="宋体" w:hAnsi="宋体"/>
          <w:b/>
          <w:w w:val="95"/>
        </w:rPr>
        <w:t>投标</w:t>
      </w:r>
      <w:r>
        <w:rPr>
          <w:rFonts w:ascii="宋体" w:hAnsi="宋体"/>
          <w:b/>
          <w:spacing w:val="1"/>
          <w:w w:val="95"/>
        </w:rPr>
        <w:t>的</w:t>
      </w:r>
      <w:r>
        <w:rPr>
          <w:rFonts w:ascii="宋体" w:hAnsi="宋体"/>
          <w:b/>
          <w:w w:val="95"/>
        </w:rPr>
        <w:t>、</w:t>
      </w:r>
      <w:r>
        <w:rPr>
          <w:rFonts w:ascii="宋体" w:hAnsi="宋体"/>
          <w:b/>
          <w:spacing w:val="2"/>
        </w:rPr>
        <w:t>投标文件有效期不符合招标文件要求的或投标文件附有招标人不能接受的条件的，该投标</w:t>
      </w:r>
      <w:r>
        <w:rPr>
          <w:rFonts w:ascii="宋体" w:hAnsi="宋体"/>
          <w:b/>
        </w:rPr>
        <w:t>人</w:t>
      </w:r>
      <w:r>
        <w:rPr>
          <w:rFonts w:ascii="宋体" w:hAnsi="宋体"/>
          <w:b/>
          <w:spacing w:val="2"/>
        </w:rPr>
        <w:t>投</w:t>
      </w:r>
      <w:r>
        <w:rPr>
          <w:rFonts w:ascii="宋体" w:hAnsi="宋体"/>
          <w:b/>
        </w:rPr>
        <w:t>标无</w:t>
      </w:r>
      <w:r>
        <w:rPr>
          <w:rFonts w:ascii="宋体" w:hAnsi="宋体"/>
          <w:b/>
          <w:spacing w:val="3"/>
        </w:rPr>
        <w:t>效</w:t>
      </w:r>
    </w:p>
    <w:p>
      <w:pPr>
        <w:pStyle w:val="BodyText"/>
        <w:kinsoku w:val="0"/>
        <w:overflowPunct w:val="0"/>
        <w:spacing w:before="31" w:line="340" w:lineRule="auto"/>
        <w:ind w:right="236" w:firstLine="480"/>
        <w:jc w:val="both"/>
        <w:rPr>
          <w:rFonts w:hint="default"/>
        </w:rPr>
      </w:pPr>
      <w:r>
        <w:rPr>
          <w:spacing w:val="-1"/>
        </w:rPr>
        <w:t>（2）澄清有关问题。对投标文件中含义不明确、同类问题表述不一致或者有明显文</w:t>
      </w:r>
      <w:r>
        <w:t>字和计算错误的内容</w:t>
      </w:r>
      <w:r>
        <w:rPr>
          <w:spacing w:val="-60"/>
        </w:rPr>
        <w:t>，</w:t>
      </w:r>
      <w:r>
        <w:t>评标委员会可以书面形式要求投标人作出必要的澄清</w:t>
      </w:r>
      <w:r>
        <w:rPr>
          <w:spacing w:val="-60"/>
        </w:rPr>
        <w:t>、</w:t>
      </w:r>
      <w:r>
        <w:t>说明或者纠正</w:t>
      </w:r>
      <w:r>
        <w:rPr>
          <w:spacing w:val="-60"/>
        </w:rPr>
        <w:t>。</w:t>
      </w:r>
      <w:r>
        <w:t>投标人的澄清</w:t>
      </w:r>
      <w:r>
        <w:rPr>
          <w:spacing w:val="-60"/>
        </w:rPr>
        <w:t>、</w:t>
      </w:r>
      <w:r>
        <w:t>说明或者补正不得超出投标文件的范围或者改变投标文件</w:t>
      </w:r>
      <w:r>
        <w:rPr>
          <w:spacing w:val="2"/>
        </w:rPr>
        <w:t>的</w:t>
      </w:r>
      <w:r>
        <w:t>实质性内容</w:t>
      </w:r>
      <w:r>
        <w:rPr>
          <w:spacing w:val="-41"/>
        </w:rPr>
        <w:t>。</w:t>
      </w:r>
      <w:r>
        <w:t>澄清</w:t>
      </w:r>
      <w:r>
        <w:rPr>
          <w:spacing w:val="-41"/>
        </w:rPr>
        <w:t>、</w:t>
      </w:r>
      <w:r>
        <w:t>说明或者</w:t>
      </w:r>
      <w:r>
        <w:rPr>
          <w:spacing w:val="2"/>
        </w:rPr>
        <w:t>补</w:t>
      </w:r>
      <w:r>
        <w:t>正应当采用书面形式</w:t>
      </w:r>
      <w:r>
        <w:rPr>
          <w:spacing w:val="-39"/>
        </w:rPr>
        <w:t>，</w:t>
      </w:r>
      <w:r>
        <w:t>由其法定代表人或委托代理人签字或盖章确认。投标人的澄清文件是投标文件的组成部分。</w:t>
      </w:r>
    </w:p>
    <w:p>
      <w:pPr>
        <w:pStyle w:val="BodyText"/>
        <w:kinsoku w:val="0"/>
        <w:overflowPunct w:val="0"/>
        <w:spacing w:before="28"/>
        <w:ind w:left="628"/>
        <w:rPr>
          <w:rFonts w:hint="default"/>
          <w:spacing w:val="-1"/>
        </w:rPr>
      </w:pPr>
      <w:r>
        <w:rPr>
          <w:spacing w:val="-1"/>
        </w:rPr>
        <w:t>（3）详细评审（比较与评价）。</w:t>
      </w:r>
    </w:p>
    <w:p>
      <w:pPr>
        <w:pStyle w:val="BodyText"/>
        <w:kinsoku w:val="0"/>
        <w:overflowPunct w:val="0"/>
        <w:spacing w:before="131"/>
        <w:ind w:left="628"/>
        <w:rPr>
          <w:rFonts w:hint="default"/>
          <w:spacing w:val="-1"/>
        </w:rPr>
      </w:pPr>
      <w:r>
        <w:rPr>
          <w:spacing w:val="-1"/>
        </w:rPr>
        <w:t>（4）推荐入围候选人名单。</w:t>
      </w:r>
    </w:p>
    <w:p>
      <w:pPr>
        <w:pStyle w:val="BodyText"/>
        <w:kinsoku w:val="0"/>
        <w:overflowPunct w:val="0"/>
        <w:spacing w:before="129"/>
        <w:ind w:left="628"/>
        <w:rPr>
          <w:rFonts w:hint="default"/>
          <w:spacing w:val="-1"/>
        </w:rPr>
      </w:pPr>
      <w:r>
        <w:rPr>
          <w:spacing w:val="-1"/>
        </w:rPr>
        <w:t>（5）编写评标报告。</w:t>
      </w:r>
    </w:p>
    <w:p>
      <w:pPr>
        <w:pStyle w:val="Heading4"/>
        <w:kinsoku w:val="0"/>
        <w:overflowPunct w:val="0"/>
        <w:spacing w:before="82"/>
        <w:rPr>
          <w:rFonts w:hint="default"/>
          <w:spacing w:val="-1"/>
        </w:rPr>
      </w:pPr>
      <w:r>
        <w:rPr>
          <w:rFonts w:ascii="Times New Roman" w:eastAsia="Times New Roman" w:hint="default"/>
          <w:spacing w:val="-1"/>
        </w:rPr>
        <w:t>21</w:t>
      </w:r>
      <w:r>
        <w:rPr>
          <w:spacing w:val="-1"/>
        </w:rPr>
        <w:t>、评标过程的保密性</w:t>
      </w:r>
    </w:p>
    <w:p>
      <w:pPr>
        <w:pStyle w:val="BodyText"/>
        <w:kinsoku w:val="0"/>
        <w:overflowPunct w:val="0"/>
        <w:spacing w:before="104" w:line="339" w:lineRule="auto"/>
        <w:ind w:right="114" w:firstLine="480"/>
        <w:rPr>
          <w:rFonts w:hint="default"/>
        </w:rPr>
      </w:pPr>
      <w:r>
        <w:t>21.1</w:t>
      </w:r>
      <w:r>
        <w:rPr>
          <w:spacing w:val="-1"/>
        </w:rPr>
        <w:t xml:space="preserve"> </w:t>
      </w:r>
      <w:r>
        <w:t>公开开标后，直至向中标的投标人授予合同时止，凡与审查、澄清、评价和比较投标的有关资料以及授标意见等，均不得向投标人及评标无关的其他人透露。</w:t>
      </w:r>
    </w:p>
    <w:p>
      <w:pPr>
        <w:pStyle w:val="BodyText"/>
        <w:kinsoku w:val="0"/>
        <w:overflowPunct w:val="0"/>
        <w:spacing w:line="340" w:lineRule="auto"/>
        <w:ind w:right="237" w:firstLine="480"/>
        <w:jc w:val="both"/>
        <w:rPr>
          <w:rFonts w:hint="default"/>
        </w:rPr>
      </w:pPr>
      <w:r>
        <w:t>21.2</w:t>
      </w:r>
      <w:r>
        <w:rPr>
          <w:spacing w:val="-1"/>
        </w:rPr>
        <w:t xml:space="preserve"> </w:t>
      </w:r>
      <w:r>
        <w:t>开标评标期间，投标人不得与评标委员会成员和招标人及工作人员私下接触， 更不得进行旨在影响评标结果的活动</w:t>
      </w:r>
      <w:r>
        <w:rPr>
          <w:spacing w:val="-41"/>
        </w:rPr>
        <w:t>，</w:t>
      </w:r>
      <w:r>
        <w:t>否则</w:t>
      </w:r>
      <w:r>
        <w:rPr>
          <w:spacing w:val="2"/>
        </w:rPr>
        <w:t>一</w:t>
      </w:r>
      <w:r>
        <w:t>经核实</w:t>
      </w:r>
      <w:r>
        <w:rPr>
          <w:spacing w:val="-40"/>
        </w:rPr>
        <w:t>，</w:t>
      </w:r>
      <w:r>
        <w:t>其投标将被</w:t>
      </w:r>
      <w:r>
        <w:rPr>
          <w:spacing w:val="2"/>
        </w:rPr>
        <w:t>宣</w:t>
      </w:r>
      <w:r>
        <w:t>布为废标</w:t>
      </w:r>
      <w:r>
        <w:rPr>
          <w:spacing w:val="-41"/>
        </w:rPr>
        <w:t>，</w:t>
      </w:r>
      <w:r>
        <w:t>并将</w:t>
      </w:r>
      <w:r>
        <w:rPr>
          <w:spacing w:val="-3"/>
        </w:rPr>
        <w:t>承</w:t>
      </w:r>
      <w:r>
        <w:t>当 相应的法律责任。</w:t>
      </w:r>
    </w:p>
    <w:p>
      <w:pPr>
        <w:pStyle w:val="Heading4"/>
        <w:kinsoku w:val="0"/>
        <w:overflowPunct w:val="0"/>
        <w:spacing w:line="365" w:lineRule="exact"/>
        <w:rPr>
          <w:rFonts w:hint="default"/>
          <w:spacing w:val="-1"/>
        </w:rPr>
      </w:pPr>
      <w:r>
        <w:rPr>
          <w:rFonts w:ascii="Times New Roman" w:eastAsia="Times New Roman" w:hint="default"/>
          <w:spacing w:val="-1"/>
        </w:rPr>
        <w:t>22</w:t>
      </w:r>
      <w:r>
        <w:rPr>
          <w:spacing w:val="-1"/>
        </w:rPr>
        <w:t>、投标文件的澄清</w:t>
      </w:r>
    </w:p>
    <w:p>
      <w:pPr>
        <w:pStyle w:val="BodyText"/>
        <w:kinsoku w:val="0"/>
        <w:overflowPunct w:val="0"/>
        <w:spacing w:before="104" w:line="340" w:lineRule="auto"/>
        <w:ind w:right="118" w:firstLine="480"/>
        <w:rPr>
          <w:rFonts w:hint="default"/>
        </w:rPr>
      </w:pPr>
      <w:r>
        <w:t>22.1</w:t>
      </w:r>
      <w:r>
        <w:rPr>
          <w:spacing w:val="-1"/>
        </w:rPr>
        <w:t xml:space="preserve"> </w:t>
      </w:r>
      <w:r>
        <w:t>为有助于对投标文件的审查、评价和比较，可分别要求对拟中标人进行技术质疑</w:t>
      </w:r>
      <w:r>
        <w:rPr>
          <w:spacing w:val="-60"/>
        </w:rPr>
        <w:t>、</w:t>
      </w:r>
      <w:r>
        <w:t>询问</w:t>
      </w:r>
      <w:r>
        <w:rPr>
          <w:spacing w:val="-60"/>
        </w:rPr>
        <w:t>，</w:t>
      </w:r>
      <w:r>
        <w:t>要求澄清</w:t>
      </w:r>
      <w:r>
        <w:rPr>
          <w:spacing w:val="-60"/>
        </w:rPr>
        <w:t>，</w:t>
      </w:r>
      <w:r>
        <w:t>或对拟中标人进行实地考察</w:t>
      </w:r>
      <w:r>
        <w:rPr>
          <w:spacing w:val="-60"/>
        </w:rPr>
        <w:t>，</w:t>
      </w:r>
      <w:r>
        <w:t>或要求拟中标人提供所需的有关资料。有关要求和答复可现场进行</w:t>
      </w:r>
      <w:r>
        <w:rPr>
          <w:spacing w:val="-29"/>
        </w:rPr>
        <w:t>，</w:t>
      </w:r>
      <w:r>
        <w:t>也可以书面形式包括电传</w:t>
      </w:r>
      <w:r>
        <w:rPr>
          <w:spacing w:val="-29"/>
        </w:rPr>
        <w:t>、</w:t>
      </w:r>
      <w:r>
        <w:t>传真提交</w:t>
      </w:r>
      <w:r>
        <w:rPr>
          <w:spacing w:val="-32"/>
        </w:rPr>
        <w:t>，</w:t>
      </w:r>
      <w:r>
        <w:t>但不得寻求</w:t>
      </w:r>
      <w:r>
        <w:rPr>
          <w:spacing w:val="-29"/>
        </w:rPr>
        <w:t>、</w:t>
      </w:r>
      <w:r>
        <w:t>提供或允许对投标价格或实质性内容做任何更改。</w:t>
      </w:r>
    </w:p>
    <w:p>
      <w:pPr>
        <w:pStyle w:val="Heading4"/>
        <w:kinsoku w:val="0"/>
        <w:overflowPunct w:val="0"/>
        <w:spacing w:line="366" w:lineRule="exact"/>
        <w:rPr>
          <w:rFonts w:hint="default"/>
          <w:spacing w:val="-1"/>
        </w:rPr>
      </w:pPr>
      <w:r>
        <w:rPr>
          <w:rFonts w:ascii="Times New Roman" w:eastAsia="Times New Roman" w:hint="default"/>
          <w:spacing w:val="-1"/>
        </w:rPr>
        <w:t>23</w:t>
      </w:r>
      <w:r>
        <w:rPr>
          <w:spacing w:val="-1"/>
        </w:rPr>
        <w:t>、投标文件如果出现计算或表达上的错误，修正错误的原则如下</w:t>
      </w:r>
    </w:p>
    <w:p>
      <w:pPr>
        <w:pStyle w:val="BodyText"/>
        <w:kinsoku w:val="0"/>
        <w:overflowPunct w:val="0"/>
        <w:spacing w:before="102" w:line="341" w:lineRule="auto"/>
        <w:ind w:right="114" w:firstLine="480"/>
        <w:rPr>
          <w:rFonts w:hint="default"/>
        </w:rPr>
      </w:pPr>
      <w:r>
        <w:rPr>
          <w:spacing w:val="-1"/>
        </w:rPr>
        <w:t>（1）开标时，投标文件中《投标（唱标）一览表》内容与投标文件中明细表内容不</w:t>
      </w:r>
      <w:r>
        <w:t>一致的，以《投标（唱标）一览表》为准；</w:t>
      </w:r>
    </w:p>
    <w:p>
      <w:pPr>
        <w:pStyle w:val="BodyText"/>
        <w:kinsoku w:val="0"/>
        <w:overflowPunct w:val="0"/>
        <w:spacing w:before="27"/>
        <w:ind w:left="628"/>
        <w:rPr>
          <w:rFonts w:hint="default"/>
          <w:spacing w:val="-1"/>
        </w:rPr>
      </w:pPr>
      <w:r>
        <w:rPr>
          <w:spacing w:val="-1"/>
        </w:rPr>
        <w:t>（2）投标文件的大写金额和小写金额不一致的，以大写金额为准；</w:t>
      </w:r>
    </w:p>
    <w:p>
      <w:pPr>
        <w:pStyle w:val="BodyText"/>
        <w:kinsoku w:val="0"/>
        <w:overflowPunct w:val="0"/>
        <w:spacing w:before="129"/>
        <w:ind w:left="628"/>
        <w:rPr>
          <w:rFonts w:hint="default"/>
          <w:spacing w:val="-1"/>
        </w:rPr>
      </w:pPr>
      <w:r>
        <w:rPr>
          <w:spacing w:val="-1"/>
        </w:rPr>
        <w:t>（3）总价金额与按单价汇总金额不一致的，以单价金额计算结果为准；</w:t>
      </w:r>
    </w:p>
    <w:p>
      <w:pPr>
        <w:pStyle w:val="BodyText"/>
        <w:kinsoku w:val="0"/>
        <w:overflowPunct w:val="0"/>
        <w:spacing w:before="131"/>
        <w:ind w:left="628"/>
        <w:rPr>
          <w:rFonts w:hint="default"/>
          <w:sz w:val="22"/>
        </w:rPr>
      </w:pPr>
      <w:r>
        <w:rPr>
          <w:spacing w:val="-1"/>
        </w:rPr>
        <w:t>（4）单价金额小数点有明显错位的，应以总价为准，并修改单价；</w:t>
      </w:r>
    </w:p>
    <w:p>
      <w:pPr>
        <w:pStyle w:val="BodyText"/>
        <w:kinsoku w:val="0"/>
        <w:overflowPunct w:val="0"/>
        <w:ind w:left="628"/>
        <w:rPr>
          <w:rFonts w:hint="default"/>
          <w:spacing w:val="-1"/>
        </w:rPr>
      </w:pPr>
      <w:r>
        <w:rPr>
          <w:spacing w:val="-1"/>
        </w:rPr>
        <w:t>（5）对不同文字文本投标文件的解释发生异议的，以中文文本为准。</w:t>
      </w:r>
    </w:p>
    <w:p>
      <w:pPr>
        <w:pStyle w:val="BodyText"/>
        <w:kinsoku w:val="0"/>
        <w:overflowPunct w:val="0"/>
        <w:spacing w:before="129" w:line="340" w:lineRule="auto"/>
        <w:ind w:right="114" w:firstLine="480"/>
        <w:rPr>
          <w:rFonts w:hint="default"/>
        </w:rPr>
      </w:pPr>
      <w:r>
        <w:t>（</w:t>
      </w:r>
      <w:r>
        <w:rPr>
          <w:spacing w:val="-1"/>
        </w:rPr>
        <w:t>6</w:t>
      </w:r>
      <w:r>
        <w:rPr>
          <w:spacing w:val="-60"/>
        </w:rPr>
        <w:t>）</w:t>
      </w:r>
      <w:r>
        <w:t>按上述修正错误的原则及方法调整或修正投标文件的投标报价</w:t>
      </w:r>
      <w:r>
        <w:rPr>
          <w:spacing w:val="-60"/>
        </w:rPr>
        <w:t>，</w:t>
      </w:r>
      <w:r>
        <w:t>投标人同意后，调整后的投标报价对投标人起约束作用</w:t>
      </w:r>
      <w:r>
        <w:rPr>
          <w:spacing w:val="-60"/>
        </w:rPr>
        <w:t>。</w:t>
      </w:r>
      <w:r>
        <w:t>如果投标人不接受修正后的报价</w:t>
      </w:r>
      <w:r>
        <w:rPr>
          <w:spacing w:val="-60"/>
        </w:rPr>
        <w:t>，</w:t>
      </w:r>
      <w:r>
        <w:t>则其投标将被拒绝。</w:t>
      </w:r>
    </w:p>
    <w:p>
      <w:pPr>
        <w:pStyle w:val="Heading4"/>
        <w:kinsoku w:val="0"/>
        <w:overflowPunct w:val="0"/>
        <w:spacing w:line="365" w:lineRule="exact"/>
        <w:rPr>
          <w:rFonts w:hint="default"/>
          <w:spacing w:val="-1"/>
        </w:rPr>
      </w:pPr>
      <w:r>
        <w:rPr>
          <w:rFonts w:ascii="Times New Roman" w:eastAsia="Times New Roman" w:hint="default"/>
          <w:spacing w:val="-1"/>
        </w:rPr>
        <w:t>24</w:t>
      </w:r>
      <w:r>
        <w:rPr>
          <w:spacing w:val="-1"/>
        </w:rPr>
        <w:t>、在招标采购中，出现下列情形之一的，应予废标</w:t>
      </w:r>
    </w:p>
    <w:p>
      <w:pPr>
        <w:pStyle w:val="Heading6"/>
        <w:kinsoku w:val="0"/>
        <w:overflowPunct w:val="0"/>
        <w:spacing w:before="102"/>
        <w:ind w:left="630"/>
        <w:rPr>
          <w:rFonts w:hint="default"/>
          <w:b w:val="0"/>
        </w:rPr>
      </w:pPr>
      <w:r>
        <w:t>（1）符合专业条件的供应商或者对招标文件作实质响应的供应商不足</w:t>
      </w:r>
      <w:r>
        <w:rPr>
          <w:spacing w:val="-100"/>
        </w:rPr>
        <w:t xml:space="preserve"> </w:t>
      </w:r>
      <w:r>
        <w:t>3</w:t>
      </w:r>
      <w:r>
        <w:rPr>
          <w:spacing w:val="-101"/>
        </w:rPr>
        <w:t xml:space="preserve"> </w:t>
      </w:r>
      <w:r>
        <w:t>家的；</w:t>
      </w:r>
    </w:p>
    <w:p>
      <w:pPr>
        <w:kinsoku w:val="0"/>
        <w:overflowPunct w:val="0"/>
        <w:spacing w:before="131"/>
        <w:ind w:left="630"/>
        <w:rPr>
          <w:rFonts w:hint="default"/>
        </w:rPr>
      </w:pPr>
      <w:r>
        <w:rPr>
          <w:rFonts w:ascii="宋体" w:hAnsi="宋体"/>
          <w:b/>
        </w:rPr>
        <w:t>（2）出现影响采购公正的违法、违规行为的；</w:t>
      </w:r>
    </w:p>
    <w:p>
      <w:pPr>
        <w:kinsoku w:val="0"/>
        <w:overflowPunct w:val="0"/>
        <w:spacing w:before="129"/>
        <w:ind w:left="630"/>
        <w:rPr>
          <w:rFonts w:hint="default"/>
        </w:rPr>
      </w:pPr>
      <w:r>
        <w:rPr>
          <w:rFonts w:ascii="宋体" w:hAnsi="宋体"/>
          <w:b/>
        </w:rPr>
        <w:t>（3）投标人的报价均超过了采购预算，招标人不能支付的；</w:t>
      </w:r>
    </w:p>
    <w:p>
      <w:pPr>
        <w:kinsoku w:val="0"/>
        <w:overflowPunct w:val="0"/>
        <w:spacing w:before="129" w:line="342" w:lineRule="auto"/>
        <w:ind w:left="628" w:firstLine="2"/>
        <w:rPr>
          <w:rFonts w:hint="default"/>
        </w:rPr>
      </w:pPr>
      <w:r>
        <w:rPr>
          <w:rFonts w:ascii="宋体" w:hAnsi="宋体"/>
          <w:b/>
        </w:rPr>
        <w:t>（4）因重大变故，采购任务取消的。</w:t>
      </w:r>
      <w:r>
        <w:rPr>
          <w:rFonts w:ascii="宋体" w:hAnsi="宋体"/>
          <w:b/>
          <w:spacing w:val="26"/>
          <w:w w:val="99"/>
        </w:rPr>
        <w:t xml:space="preserve"> </w:t>
      </w:r>
      <w:r>
        <w:rPr>
          <w:rFonts w:ascii="宋体" w:hAnsi="宋体"/>
        </w:rPr>
        <w:t>废标后，招标人将废标理由通过电子招标投标交易平台通知所有投标人。</w:t>
      </w:r>
    </w:p>
    <w:p>
      <w:pPr>
        <w:pStyle w:val="Heading2"/>
        <w:numPr>
          <w:ilvl w:val="1"/>
          <w:numId w:val="0"/>
        </w:numPr>
        <w:kinsoku w:val="0"/>
        <w:overflowPunct w:val="0"/>
        <w:spacing w:before="141"/>
        <w:ind w:left="425"/>
        <w:rPr>
          <w:rFonts w:eastAsia="Times New Roman" w:hint="default"/>
          <w:sz w:val="32"/>
        </w:rPr>
      </w:pPr>
      <w:bookmarkStart w:id="14" w:name="_Toc12901"/>
      <w:r>
        <w:rPr>
          <w:spacing w:val="1"/>
          <w:sz w:val="32"/>
        </w:rPr>
        <w:t>六、中标结果和合同授予</w:t>
      </w:r>
      <w:bookmarkEnd w:id="14"/>
    </w:p>
    <w:p>
      <w:pPr>
        <w:pStyle w:val="Heading4"/>
        <w:kinsoku w:val="0"/>
        <w:overflowPunct w:val="0"/>
        <w:rPr>
          <w:rFonts w:hint="default"/>
        </w:rPr>
      </w:pPr>
      <w:r>
        <w:rPr>
          <w:rFonts w:ascii="Times New Roman" w:eastAsia="Times New Roman" w:hint="default"/>
        </w:rPr>
        <w:t>25</w:t>
      </w:r>
      <w:r>
        <w:t>、定标</w:t>
      </w:r>
    </w:p>
    <w:p>
      <w:pPr>
        <w:pStyle w:val="BodyText"/>
        <w:kinsoku w:val="0"/>
        <w:overflowPunct w:val="0"/>
        <w:spacing w:before="102" w:line="341" w:lineRule="auto"/>
        <w:ind w:firstLine="480"/>
        <w:rPr>
          <w:rFonts w:hint="default"/>
        </w:rPr>
      </w:pPr>
      <w:r>
        <w:t>25.1</w:t>
      </w:r>
      <w:r>
        <w:rPr>
          <w:spacing w:val="-1"/>
        </w:rPr>
        <w:t xml:space="preserve"> </w:t>
      </w:r>
      <w:r>
        <w:t>评标委员会根据评标原则和评标办法择优推荐入围单位，招标人按推荐顺序进行最终审查后确定入围单位。</w:t>
      </w:r>
    </w:p>
    <w:p>
      <w:pPr>
        <w:pStyle w:val="Heading4"/>
        <w:kinsoku w:val="0"/>
        <w:overflowPunct w:val="0"/>
        <w:spacing w:line="364" w:lineRule="exact"/>
        <w:rPr>
          <w:rFonts w:hint="default"/>
          <w:spacing w:val="-1"/>
        </w:rPr>
      </w:pPr>
      <w:r>
        <w:rPr>
          <w:rFonts w:ascii="Times New Roman" w:eastAsia="Times New Roman" w:hint="default"/>
          <w:spacing w:val="-1"/>
        </w:rPr>
        <w:t>26</w:t>
      </w:r>
      <w:r>
        <w:rPr>
          <w:spacing w:val="-1"/>
        </w:rPr>
        <w:t>、中标通知</w:t>
      </w:r>
    </w:p>
    <w:p>
      <w:pPr>
        <w:pStyle w:val="BodyText"/>
        <w:kinsoku w:val="0"/>
        <w:overflowPunct w:val="0"/>
        <w:spacing w:before="102" w:line="331" w:lineRule="auto"/>
        <w:ind w:right="232" w:firstLine="480"/>
        <w:jc w:val="both"/>
        <w:rPr>
          <w:rFonts w:hint="default"/>
        </w:rPr>
      </w:pPr>
      <w:r>
        <w:t>26.1</w:t>
      </w:r>
      <w:r>
        <w:rPr>
          <w:spacing w:val="-1"/>
        </w:rPr>
        <w:t xml:space="preserve"> </w:t>
      </w:r>
      <w:r>
        <w:t>中标人确定后，中标结果由招标代理机构在《云南省政府采购网》、</w:t>
      </w:r>
      <w:r>
        <w:rPr>
          <w:rFonts w:ascii="Times New Roman" w:eastAsia="Times New Roman" w:hint="default"/>
          <w:spacing w:val="1"/>
        </w:rPr>
        <w:t>,</w:t>
      </w:r>
      <w:r>
        <w:rPr>
          <w:rFonts w:ascii="Times New Roman" w:eastAsia="Times New Roman" w:hint="default"/>
          <w:spacing w:val="2"/>
        </w:rPr>
        <w:t xml:space="preserve"> </w:t>
      </w:r>
      <w:r>
        <w:rPr>
          <w:spacing w:val="1"/>
        </w:rPr>
        <w:t>《怒江州公共资源交易电子服务系统》上公告，公示期满</w:t>
      </w:r>
      <w:r>
        <w:t>向中标人发出中标通知书。</w:t>
      </w:r>
    </w:p>
    <w:p>
      <w:pPr>
        <w:pStyle w:val="BodyText"/>
        <w:kinsoku w:val="0"/>
        <w:overflowPunct w:val="0"/>
        <w:spacing w:before="37"/>
        <w:ind w:left="628"/>
        <w:rPr>
          <w:rFonts w:hint="default"/>
        </w:rPr>
      </w:pPr>
      <w:r>
        <w:t>26.2</w:t>
      </w:r>
      <w:r>
        <w:rPr>
          <w:spacing w:val="-61"/>
        </w:rPr>
        <w:t xml:space="preserve"> </w:t>
      </w:r>
      <w:r>
        <w:t>中标通知书是合同的一个组成部分。</w:t>
      </w:r>
    </w:p>
    <w:p>
      <w:pPr>
        <w:pStyle w:val="BodyText"/>
        <w:kinsoku w:val="0"/>
        <w:overflowPunct w:val="0"/>
        <w:spacing w:before="131" w:line="339" w:lineRule="auto"/>
        <w:ind w:right="114" w:firstLine="480"/>
        <w:rPr>
          <w:rFonts w:hint="default"/>
        </w:rPr>
      </w:pPr>
      <w:r>
        <w:rPr>
          <w:spacing w:val="-1"/>
        </w:rPr>
        <w:t>26.3</w:t>
      </w:r>
      <w:r>
        <w:t xml:space="preserve"> 对落标的投标人，招标代理机构于发出中标通知并公布中标结果后</w:t>
      </w:r>
      <w:r>
        <w:rPr>
          <w:spacing w:val="-60"/>
        </w:rPr>
        <w:t xml:space="preserve"> </w:t>
      </w:r>
      <w:r>
        <w:t>5</w:t>
      </w:r>
      <w:r>
        <w:rPr>
          <w:spacing w:val="-60"/>
        </w:rPr>
        <w:t xml:space="preserve"> </w:t>
      </w:r>
      <w:r>
        <w:t>日内退回其投标保证金（无息），但不予解释落标原因和退回投标文件。</w:t>
      </w:r>
    </w:p>
    <w:p>
      <w:pPr>
        <w:pStyle w:val="Heading4"/>
        <w:kinsoku w:val="0"/>
        <w:overflowPunct w:val="0"/>
        <w:spacing w:line="366" w:lineRule="exact"/>
        <w:rPr>
          <w:rFonts w:hint="default"/>
          <w:spacing w:val="-1"/>
        </w:rPr>
      </w:pPr>
      <w:r>
        <w:rPr>
          <w:rFonts w:ascii="Times New Roman" w:eastAsia="Times New Roman" w:hint="default"/>
          <w:spacing w:val="-1"/>
        </w:rPr>
        <w:t>27</w:t>
      </w:r>
      <w:r>
        <w:rPr>
          <w:spacing w:val="-1"/>
        </w:rPr>
        <w:t>、签订合同</w:t>
      </w:r>
    </w:p>
    <w:p>
      <w:pPr>
        <w:pStyle w:val="BodyText"/>
        <w:kinsoku w:val="0"/>
        <w:overflowPunct w:val="0"/>
        <w:spacing w:before="104" w:line="339" w:lineRule="auto"/>
        <w:ind w:right="114" w:firstLine="480"/>
        <w:rPr>
          <w:rFonts w:hint="default"/>
        </w:rPr>
      </w:pPr>
      <w:r>
        <w:t>27.1</w:t>
      </w:r>
      <w:r>
        <w:rPr>
          <w:spacing w:val="-1"/>
        </w:rPr>
        <w:t xml:space="preserve"> </w:t>
      </w:r>
      <w:r>
        <w:t>中标人收到中标通知书后，按招标文件、投标文件及有关澄清承诺书的要求与招标人签订合同。</w:t>
      </w:r>
    </w:p>
    <w:p>
      <w:pPr>
        <w:pStyle w:val="BodyText"/>
        <w:kinsoku w:val="0"/>
        <w:overflowPunct w:val="0"/>
        <w:spacing w:line="342" w:lineRule="auto"/>
        <w:ind w:right="114" w:firstLine="480"/>
        <w:rPr>
          <w:rFonts w:hint="default"/>
        </w:rPr>
      </w:pPr>
      <w:r>
        <w:t>27.2</w:t>
      </w:r>
      <w:r>
        <w:rPr>
          <w:spacing w:val="-1"/>
        </w:rPr>
        <w:t xml:space="preserve"> </w:t>
      </w:r>
      <w:r>
        <w:t>中标人因不可抗力或者自身原因不能履行政府采购合同的，招标人可以与排位在中标人之后第一位的中标候选供应商签订政府采购合同，以此类推。</w:t>
      </w:r>
    </w:p>
    <w:p>
      <w:pPr>
        <w:pStyle w:val="BodyText"/>
        <w:kinsoku w:val="0"/>
        <w:overflowPunct w:val="0"/>
        <w:spacing w:before="27"/>
        <w:ind w:left="628"/>
        <w:rPr>
          <w:rFonts w:hint="default"/>
        </w:rPr>
      </w:pPr>
      <w:r>
        <w:t>27.3</w:t>
      </w:r>
      <w:r>
        <w:rPr>
          <w:spacing w:val="-61"/>
        </w:rPr>
        <w:t xml:space="preserve"> </w:t>
      </w:r>
      <w:r>
        <w:t>中标人的投标保证金在合同签订并按规定提交中标服务费后</w:t>
      </w:r>
      <w:r>
        <w:rPr>
          <w:spacing w:val="-59"/>
        </w:rPr>
        <w:t xml:space="preserve"> </w:t>
      </w:r>
      <w:r>
        <w:t>5</w:t>
      </w:r>
      <w:r>
        <w:rPr>
          <w:spacing w:val="-60"/>
        </w:rPr>
        <w:t xml:space="preserve"> </w:t>
      </w:r>
      <w:r>
        <w:t>日内无息退还。</w:t>
      </w:r>
    </w:p>
    <w:p>
      <w:pPr>
        <w:pStyle w:val="BodyText"/>
        <w:kinsoku w:val="0"/>
        <w:overflowPunct w:val="0"/>
        <w:spacing w:before="129" w:line="331" w:lineRule="auto"/>
        <w:ind w:right="237" w:firstLine="480"/>
        <w:jc w:val="both"/>
        <w:rPr>
          <w:rFonts w:eastAsia="Times New Roman" w:hint="default"/>
          <w:sz w:val="20"/>
        </w:rPr>
      </w:pPr>
      <w:r>
        <w:t>27.4</w:t>
      </w:r>
      <w:r>
        <w:rPr>
          <w:spacing w:val="-61"/>
        </w:rPr>
        <w:t xml:space="preserve"> </w:t>
      </w:r>
      <w:r>
        <w:t>中标人不能按本章要求投标人需知前附表中要求提交履约担保的，视为放弃中标</w:t>
      </w:r>
      <w:r>
        <w:rPr>
          <w:spacing w:val="-41"/>
        </w:rPr>
        <w:t>，</w:t>
      </w:r>
      <w:r>
        <w:t>其投标保证金</w:t>
      </w:r>
      <w:r>
        <w:rPr>
          <w:spacing w:val="2"/>
        </w:rPr>
        <w:t>不</w:t>
      </w:r>
      <w:r>
        <w:t>予退还</w:t>
      </w:r>
      <w:r>
        <w:rPr>
          <w:spacing w:val="-41"/>
        </w:rPr>
        <w:t>，</w:t>
      </w:r>
      <w:r>
        <w:t>给招标人造</w:t>
      </w:r>
      <w:r>
        <w:rPr>
          <w:spacing w:val="2"/>
        </w:rPr>
        <w:t>成</w:t>
      </w:r>
      <w:r>
        <w:t>的损失超过投标保证金数额的</w:t>
      </w:r>
      <w:r>
        <w:rPr>
          <w:spacing w:val="-41"/>
        </w:rPr>
        <w:t>，</w:t>
      </w:r>
      <w:r>
        <w:t>中标人</w:t>
      </w:r>
      <w:r>
        <w:rPr>
          <w:spacing w:val="-3"/>
        </w:rPr>
        <w:t>还</w:t>
      </w:r>
      <w:r>
        <w:t>应当对超出部分予以赔偿。</w:t>
      </w:r>
    </w:p>
    <w:p>
      <w:pPr>
        <w:pStyle w:val="Heading2"/>
        <w:tabs>
          <w:tab w:val="clear" w:pos="360"/>
          <w:tab w:val="left" w:pos="1021"/>
        </w:tabs>
        <w:kinsoku w:val="0"/>
        <w:overflowPunct w:val="0"/>
        <w:spacing w:before="5"/>
        <w:rPr>
          <w:rFonts w:eastAsia="Times New Roman" w:hint="default"/>
          <w:sz w:val="32"/>
        </w:rPr>
      </w:pPr>
      <w:bookmarkStart w:id="15" w:name="_Toc11143"/>
      <w:r>
        <w:rPr>
          <w:spacing w:val="2"/>
          <w:sz w:val="32"/>
        </w:rPr>
        <w:t>七、其他事项</w:t>
      </w:r>
      <w:bookmarkEnd w:id="15"/>
    </w:p>
    <w:p>
      <w:pPr>
        <w:pStyle w:val="Heading4"/>
        <w:kinsoku w:val="0"/>
        <w:overflowPunct w:val="0"/>
        <w:rPr>
          <w:rFonts w:hint="default"/>
          <w:spacing w:val="-1"/>
        </w:rPr>
      </w:pPr>
      <w:r>
        <w:rPr>
          <w:rFonts w:ascii="Times New Roman" w:eastAsia="Times New Roman" w:hint="default"/>
          <w:spacing w:val="-1"/>
        </w:rPr>
        <w:t>28</w:t>
      </w:r>
      <w:r>
        <w:rPr>
          <w:spacing w:val="-1"/>
        </w:rPr>
        <w:t>、招标代理服务费</w:t>
      </w:r>
    </w:p>
    <w:p>
      <w:pPr>
        <w:kinsoku w:val="0"/>
        <w:overflowPunct w:val="0"/>
        <w:spacing w:before="102"/>
        <w:ind w:left="628"/>
        <w:rPr>
          <w:rFonts w:hint="default"/>
        </w:rPr>
      </w:pPr>
      <w:r>
        <w:rPr>
          <w:rFonts w:ascii="宋体" w:hAnsi="宋体"/>
        </w:rPr>
        <w:t>28.1</w:t>
      </w:r>
      <w:r>
        <w:rPr>
          <w:rFonts w:ascii="宋体" w:hAnsi="宋体"/>
          <w:spacing w:val="-81"/>
        </w:rPr>
        <w:t xml:space="preserve"> </w:t>
      </w:r>
      <w:r>
        <w:rPr>
          <w:rFonts w:ascii="宋体" w:hAnsi="宋体"/>
        </w:rPr>
        <w:t>招标代理服务费向中标人收取，收取标准详见“</w:t>
      </w:r>
      <w:r>
        <w:rPr>
          <w:rFonts w:ascii="宋体" w:hAnsi="宋体"/>
          <w:b/>
        </w:rPr>
        <w:t>投标人须知前附表</w:t>
      </w:r>
      <w:r>
        <w:rPr>
          <w:rFonts w:ascii="宋体" w:hAnsi="宋体"/>
        </w:rPr>
        <w:t>”。</w:t>
      </w:r>
    </w:p>
    <w:p>
      <w:pPr>
        <w:pStyle w:val="BodyText"/>
        <w:kinsoku w:val="0"/>
        <w:overflowPunct w:val="0"/>
        <w:spacing w:before="129"/>
        <w:ind w:left="628"/>
        <w:rPr>
          <w:rFonts w:hint="default"/>
        </w:rPr>
      </w:pPr>
      <w:r>
        <w:t>28.2</w:t>
      </w:r>
      <w:r>
        <w:rPr>
          <w:spacing w:val="-61"/>
        </w:rPr>
        <w:t xml:space="preserve"> </w:t>
      </w:r>
      <w:r>
        <w:t>中标人应在接受《中标通知书》前向招标代理机构一次付清代理服务费。</w:t>
      </w:r>
    </w:p>
    <w:p>
      <w:pPr>
        <w:pStyle w:val="Heading4"/>
        <w:kinsoku w:val="0"/>
        <w:overflowPunct w:val="0"/>
        <w:spacing w:before="85"/>
        <w:rPr>
          <w:rFonts w:hint="default"/>
          <w:spacing w:val="-1"/>
        </w:rPr>
      </w:pPr>
      <w:r>
        <w:rPr>
          <w:rFonts w:ascii="Times New Roman" w:eastAsia="Times New Roman" w:hint="default"/>
          <w:spacing w:val="-1"/>
        </w:rPr>
        <w:t>29</w:t>
      </w:r>
      <w:r>
        <w:rPr>
          <w:spacing w:val="-1"/>
        </w:rPr>
        <w:t>、公证费</w:t>
      </w:r>
    </w:p>
    <w:p>
      <w:pPr>
        <w:kinsoku w:val="0"/>
        <w:overflowPunct w:val="0"/>
        <w:spacing w:before="102"/>
        <w:ind w:left="628"/>
        <w:rPr>
          <w:rFonts w:hint="default"/>
        </w:rPr>
      </w:pPr>
      <w:r>
        <w:rPr>
          <w:rFonts w:ascii="宋体" w:hAnsi="宋体"/>
        </w:rPr>
        <w:t>29.1</w:t>
      </w:r>
      <w:r>
        <w:rPr>
          <w:rFonts w:ascii="宋体" w:hAnsi="宋体"/>
          <w:spacing w:val="-81"/>
        </w:rPr>
        <w:t xml:space="preserve"> </w:t>
      </w:r>
      <w:r>
        <w:rPr>
          <w:rFonts w:ascii="宋体" w:hAnsi="宋体"/>
        </w:rPr>
        <w:t>公证费向中标人收取，收取标准详见“</w:t>
      </w:r>
      <w:r>
        <w:rPr>
          <w:rFonts w:ascii="宋体" w:hAnsi="宋体"/>
          <w:b/>
        </w:rPr>
        <w:t>投标人须知前附表</w:t>
      </w:r>
      <w:r>
        <w:rPr>
          <w:rFonts w:ascii="宋体" w:hAnsi="宋体"/>
        </w:rPr>
        <w:t>”。</w:t>
      </w:r>
    </w:p>
    <w:p>
      <w:pPr>
        <w:pStyle w:val="BodyText"/>
        <w:kinsoku w:val="0"/>
        <w:overflowPunct w:val="0"/>
        <w:spacing w:before="129"/>
        <w:ind w:left="628"/>
        <w:rPr>
          <w:rFonts w:hint="default"/>
        </w:rPr>
      </w:pPr>
      <w:r>
        <w:t>29.2</w:t>
      </w:r>
      <w:r>
        <w:rPr>
          <w:spacing w:val="-61"/>
        </w:rPr>
        <w:t xml:space="preserve"> </w:t>
      </w:r>
      <w:r>
        <w:t>中标人应在接受《中标通知书》前向公证机构一次付清公证费。</w:t>
      </w:r>
    </w:p>
    <w:p>
      <w:pPr>
        <w:pStyle w:val="Heading4"/>
        <w:kinsoku w:val="0"/>
        <w:overflowPunct w:val="0"/>
        <w:spacing w:before="85"/>
        <w:rPr>
          <w:rFonts w:hint="default"/>
          <w:spacing w:val="-1"/>
        </w:rPr>
      </w:pPr>
      <w:r>
        <w:rPr>
          <w:rFonts w:ascii="Times New Roman" w:eastAsia="Times New Roman" w:hint="default"/>
          <w:spacing w:val="-1"/>
        </w:rPr>
        <w:t>30</w:t>
      </w:r>
      <w:r>
        <w:rPr>
          <w:spacing w:val="-1"/>
        </w:rPr>
        <w:t>、解释权</w:t>
      </w:r>
    </w:p>
    <w:p>
      <w:pPr>
        <w:pStyle w:val="BodyText"/>
        <w:kinsoku w:val="0"/>
        <w:overflowPunct w:val="0"/>
        <w:spacing w:before="102" w:line="340" w:lineRule="auto"/>
        <w:ind w:right="237" w:firstLine="480"/>
        <w:jc w:val="both"/>
        <w:rPr>
          <w:rFonts w:hint="default"/>
        </w:rPr>
      </w:pPr>
      <w:r>
        <w:t>30.1</w:t>
      </w:r>
      <w:r>
        <w:rPr>
          <w:spacing w:val="-1"/>
        </w:rPr>
        <w:t xml:space="preserve"> </w:t>
      </w:r>
      <w:r>
        <w:t>本招标文件是根据《中华人民共和国政府采购法》及相关法律法规编制，解释权属招标代理机构。</w:t>
      </w:r>
    </w:p>
    <w:p>
      <w:pPr>
        <w:pStyle w:val="Heading4"/>
        <w:kinsoku w:val="0"/>
        <w:overflowPunct w:val="0"/>
        <w:spacing w:line="368" w:lineRule="exact"/>
        <w:rPr>
          <w:rFonts w:hint="default"/>
          <w:spacing w:val="-1"/>
        </w:rPr>
      </w:pPr>
      <w:r>
        <w:rPr>
          <w:rFonts w:ascii="Times New Roman" w:eastAsia="Times New Roman" w:hint="default"/>
          <w:spacing w:val="-1"/>
        </w:rPr>
        <w:t>31</w:t>
      </w:r>
      <w:r>
        <w:rPr>
          <w:spacing w:val="-1"/>
        </w:rPr>
        <w:t>、需要补充的其他内容</w:t>
      </w:r>
    </w:p>
    <w:p>
      <w:pPr>
        <w:pStyle w:val="BodyText"/>
        <w:kinsoku w:val="0"/>
        <w:overflowPunct w:val="0"/>
        <w:spacing w:before="102"/>
        <w:ind w:left="628"/>
        <w:rPr>
          <w:rFonts w:hint="default"/>
        </w:rPr>
      </w:pPr>
      <w:r>
        <w:t>31.1</w:t>
      </w:r>
      <w:r>
        <w:rPr>
          <w:spacing w:val="-61"/>
        </w:rPr>
        <w:t xml:space="preserve"> </w:t>
      </w:r>
      <w:r>
        <w:t>关于中小企业：</w:t>
      </w:r>
    </w:p>
    <w:p>
      <w:pPr>
        <w:pStyle w:val="BodyText"/>
        <w:kinsoku w:val="0"/>
        <w:overflowPunct w:val="0"/>
        <w:spacing w:before="129"/>
        <w:ind w:left="628"/>
        <w:rPr>
          <w:rFonts w:hint="default"/>
        </w:rPr>
      </w:pPr>
      <w:r>
        <w:t>31.1.1</w:t>
      </w:r>
      <w:r>
        <w:rPr>
          <w:spacing w:val="-61"/>
        </w:rPr>
        <w:t xml:space="preserve"> </w:t>
      </w:r>
      <w:r>
        <w:t>根</w:t>
      </w:r>
      <w:r>
        <w:rPr>
          <w:spacing w:val="-75"/>
        </w:rPr>
        <w:t>据</w:t>
      </w:r>
      <w:r>
        <w:t>《关于印发&lt;政府采购促进中小企业发展暂行办法&gt;的通知</w:t>
      </w:r>
      <w:r>
        <w:rPr>
          <w:spacing w:val="-149"/>
        </w:rPr>
        <w:t>》</w:t>
      </w:r>
      <w:r>
        <w:t>（财</w:t>
      </w:r>
      <w:r>
        <w:rPr>
          <w:spacing w:val="-75"/>
        </w:rPr>
        <w:t>库</w:t>
      </w:r>
      <w:r>
        <w:t>【2011】</w:t>
      </w:r>
    </w:p>
    <w:p>
      <w:pPr>
        <w:pStyle w:val="BodyText"/>
        <w:kinsoku w:val="0"/>
        <w:overflowPunct w:val="0"/>
        <w:spacing w:before="131"/>
        <w:rPr>
          <w:rFonts w:hint="default"/>
        </w:rPr>
      </w:pPr>
      <w:r>
        <w:t>181</w:t>
      </w:r>
      <w:r>
        <w:rPr>
          <w:spacing w:val="-60"/>
        </w:rPr>
        <w:t xml:space="preserve"> </w:t>
      </w:r>
      <w:r>
        <w:t>号文</w:t>
      </w:r>
      <w:r>
        <w:rPr>
          <w:spacing w:val="-27"/>
        </w:rPr>
        <w:t>）</w:t>
      </w:r>
      <w:r>
        <w:t>的规定</w:t>
      </w:r>
      <w:r>
        <w:rPr>
          <w:spacing w:val="-27"/>
        </w:rPr>
        <w:t>，</w:t>
      </w:r>
      <w:r>
        <w:rPr>
          <w:spacing w:val="2"/>
        </w:rPr>
        <w:t>中</w:t>
      </w:r>
      <w:r>
        <w:t>小企</w:t>
      </w:r>
      <w:r>
        <w:rPr>
          <w:spacing w:val="-27"/>
        </w:rPr>
        <w:t>业</w:t>
      </w:r>
      <w:r>
        <w:t>（含中型</w:t>
      </w:r>
      <w:r>
        <w:rPr>
          <w:spacing w:val="-27"/>
        </w:rPr>
        <w:t>、</w:t>
      </w:r>
      <w:r>
        <w:t>小</w:t>
      </w:r>
      <w:r>
        <w:rPr>
          <w:spacing w:val="2"/>
        </w:rPr>
        <w:t>型</w:t>
      </w:r>
      <w:r>
        <w:rPr>
          <w:spacing w:val="-27"/>
        </w:rPr>
        <w:t>、</w:t>
      </w:r>
      <w:r>
        <w:t>微型企业</w:t>
      </w:r>
      <w:r>
        <w:rPr>
          <w:spacing w:val="-27"/>
        </w:rPr>
        <w:t>，</w:t>
      </w:r>
      <w:r>
        <w:t>下同</w:t>
      </w:r>
      <w:r>
        <w:rPr>
          <w:spacing w:val="-27"/>
        </w:rPr>
        <w:t>）</w:t>
      </w:r>
      <w:r>
        <w:rPr>
          <w:spacing w:val="2"/>
        </w:rPr>
        <w:t>应</w:t>
      </w:r>
      <w:r>
        <w:t>当同时符合以下条件：</w:t>
      </w:r>
    </w:p>
    <w:p>
      <w:pPr>
        <w:pStyle w:val="BodyText"/>
        <w:kinsoku w:val="0"/>
        <w:overflowPunct w:val="0"/>
        <w:spacing w:before="129"/>
        <w:ind w:left="628"/>
        <w:rPr>
          <w:rFonts w:hint="default"/>
          <w:spacing w:val="-1"/>
        </w:rPr>
      </w:pPr>
      <w:r>
        <w:rPr>
          <w:spacing w:val="-1"/>
        </w:rPr>
        <w:t>（1）符合中小企业划分标准；</w:t>
      </w:r>
    </w:p>
    <w:p>
      <w:pPr>
        <w:pStyle w:val="BodyText"/>
        <w:kinsoku w:val="0"/>
        <w:overflowPunct w:val="0"/>
        <w:spacing w:before="129" w:line="341" w:lineRule="auto"/>
        <w:ind w:right="237" w:firstLine="480"/>
        <w:jc w:val="both"/>
        <w:rPr>
          <w:rFonts w:hint="default"/>
        </w:rPr>
      </w:pPr>
      <w:r>
        <w:rPr>
          <w:spacing w:val="-1"/>
        </w:rPr>
        <w:t>（2）提供本企业制造的货物、承担的工程或者服务，或者提供其他中小企业制造的</w:t>
      </w:r>
      <w:r>
        <w:rPr>
          <w:spacing w:val="72"/>
        </w:rPr>
        <w:t xml:space="preserve"> </w:t>
      </w:r>
      <w:r>
        <w:t>货物。本项所称货物不包括使用大型企业注册商标的货物。</w:t>
      </w:r>
    </w:p>
    <w:p>
      <w:pPr>
        <w:pStyle w:val="BodyText"/>
        <w:kinsoku w:val="0"/>
        <w:overflowPunct w:val="0"/>
        <w:spacing w:before="27" w:line="340" w:lineRule="auto"/>
        <w:ind w:right="236" w:firstLine="480"/>
        <w:jc w:val="both"/>
        <w:rPr>
          <w:rFonts w:hint="default"/>
        </w:rPr>
      </w:pPr>
      <w:r>
        <w:t>31.1.2</w:t>
      </w:r>
      <w:r>
        <w:rPr>
          <w:spacing w:val="-1"/>
        </w:rPr>
        <w:t xml:space="preserve"> </w:t>
      </w:r>
      <w:r>
        <w:t>本规定所称中小企业划分标准，是指国务院有关部门根据企业从业人员、营 业收入</w:t>
      </w:r>
      <w:r>
        <w:rPr>
          <w:spacing w:val="-41"/>
        </w:rPr>
        <w:t>、</w:t>
      </w:r>
      <w:r>
        <w:t>资产总额等</w:t>
      </w:r>
      <w:r>
        <w:rPr>
          <w:spacing w:val="2"/>
        </w:rPr>
        <w:t>指</w:t>
      </w:r>
      <w:r>
        <w:t>标制定的中小企业划型标准</w:t>
      </w:r>
      <w:r>
        <w:rPr>
          <w:spacing w:val="-41"/>
        </w:rPr>
        <w:t>，</w:t>
      </w:r>
      <w:r>
        <w:t>详</w:t>
      </w:r>
      <w:r>
        <w:rPr>
          <w:spacing w:val="-41"/>
        </w:rPr>
        <w:t>见</w:t>
      </w:r>
      <w:r>
        <w:t>《关于印</w:t>
      </w:r>
      <w:r>
        <w:rPr>
          <w:spacing w:val="2"/>
        </w:rPr>
        <w:t>发</w:t>
      </w:r>
      <w:r>
        <w:t>中小企业划型标准规 定的通知》（工信部联企业〔2011〕300</w:t>
      </w:r>
      <w:r>
        <w:rPr>
          <w:spacing w:val="-60"/>
        </w:rPr>
        <w:t xml:space="preserve"> </w:t>
      </w:r>
      <w:r>
        <w:t>号）。</w:t>
      </w:r>
    </w:p>
    <w:p>
      <w:pPr>
        <w:pStyle w:val="BodyText"/>
        <w:kinsoku w:val="0"/>
        <w:overflowPunct w:val="0"/>
        <w:spacing w:before="28"/>
        <w:ind w:left="628"/>
        <w:rPr>
          <w:rFonts w:hint="default"/>
        </w:rPr>
      </w:pPr>
      <w:r>
        <w:t>31.1.3</w:t>
      </w:r>
      <w:r>
        <w:rPr>
          <w:spacing w:val="-61"/>
        </w:rPr>
        <w:t xml:space="preserve"> </w:t>
      </w:r>
      <w:r>
        <w:t>小型、微型企业提供中型企业制造的货物的，视同为中型企业。</w:t>
      </w:r>
    </w:p>
    <w:p>
      <w:pPr>
        <w:pStyle w:val="BodyText"/>
        <w:kinsoku w:val="0"/>
        <w:overflowPunct w:val="0"/>
        <w:spacing w:before="129" w:line="340" w:lineRule="auto"/>
        <w:ind w:right="236" w:firstLine="480"/>
        <w:jc w:val="both"/>
        <w:rPr>
          <w:rFonts w:hint="default"/>
        </w:rPr>
      </w:pPr>
      <w:r>
        <w:t>31.1.4</w:t>
      </w:r>
      <w:r>
        <w:rPr>
          <w:spacing w:val="-1"/>
        </w:rPr>
        <w:t xml:space="preserve"> </w:t>
      </w:r>
      <w:r>
        <w:t>中小企业提供本企业制造的货物参与投标时，须提供本企业的《中小企业声明函</w:t>
      </w:r>
      <w:r>
        <w:rPr>
          <w:spacing w:val="-41"/>
        </w:rPr>
        <w:t>》；</w:t>
      </w:r>
      <w:r>
        <w:t>中小企业提</w:t>
      </w:r>
      <w:r>
        <w:rPr>
          <w:spacing w:val="2"/>
        </w:rPr>
        <w:t>供</w:t>
      </w:r>
      <w:r>
        <w:t>其他中小企业制造的货物参与投标时</w:t>
      </w:r>
      <w:r>
        <w:rPr>
          <w:spacing w:val="-41"/>
        </w:rPr>
        <w:t>，</w:t>
      </w:r>
      <w:r>
        <w:t>还须</w:t>
      </w:r>
      <w:r>
        <w:rPr>
          <w:spacing w:val="2"/>
        </w:rPr>
        <w:t>同</w:t>
      </w:r>
      <w:r>
        <w:t>时提供货物制造企业的《中小企业声明函》。</w:t>
      </w:r>
    </w:p>
    <w:p>
      <w:pPr>
        <w:pStyle w:val="BodyText"/>
        <w:kinsoku w:val="0"/>
        <w:overflowPunct w:val="0"/>
        <w:spacing w:before="28" w:line="341" w:lineRule="auto"/>
        <w:ind w:right="236" w:firstLine="480"/>
        <w:jc w:val="both"/>
        <w:rPr>
          <w:rFonts w:hint="default"/>
        </w:rPr>
      </w:pPr>
      <w:r>
        <w:t>31.1.5</w:t>
      </w:r>
      <w:r>
        <w:rPr>
          <w:spacing w:val="-61"/>
        </w:rPr>
        <w:t xml:space="preserve"> </w:t>
      </w:r>
      <w:r>
        <w:t>本项目针对小型和微型企业产品的价格给予</w:t>
      </w:r>
      <w:r>
        <w:rPr>
          <w:spacing w:val="-59"/>
        </w:rPr>
        <w:t xml:space="preserve"> </w:t>
      </w:r>
      <w:r>
        <w:t>6%的扣除，用扣除后的价格参与评审。</w:t>
      </w:r>
    </w:p>
    <w:p>
      <w:pPr>
        <w:pStyle w:val="BodyText"/>
        <w:kinsoku w:val="0"/>
        <w:overflowPunct w:val="0"/>
        <w:spacing w:before="28"/>
        <w:ind w:left="628"/>
        <w:rPr>
          <w:rFonts w:hint="default"/>
        </w:rPr>
      </w:pPr>
      <w:r>
        <w:t>31.2</w:t>
      </w:r>
      <w:r>
        <w:rPr>
          <w:spacing w:val="-61"/>
        </w:rPr>
        <w:t xml:space="preserve"> </w:t>
      </w:r>
      <w:r>
        <w:t>关于节能产品及环境标志产品：</w:t>
      </w:r>
    </w:p>
    <w:p>
      <w:pPr>
        <w:pStyle w:val="BodyText"/>
        <w:kinsoku w:val="0"/>
        <w:overflowPunct w:val="0"/>
        <w:spacing w:before="129" w:line="340" w:lineRule="auto"/>
        <w:ind w:right="237" w:firstLine="480"/>
        <w:jc w:val="both"/>
        <w:rPr>
          <w:rFonts w:hint="default"/>
        </w:rPr>
      </w:pPr>
      <w:r>
        <w:t>31.2.1</w:t>
      </w:r>
      <w:r>
        <w:rPr>
          <w:spacing w:val="-1"/>
        </w:rPr>
        <w:t xml:space="preserve"> </w:t>
      </w:r>
      <w:r>
        <w:t>节能产品是指列入财政部和国家发改委公布的、在有效期内的《节能产品政府采购清单》中的产品，需对应到“节能清单”中所列的型号/系列。政府强制采购节能产品是指“节能清单”中以“★”标注类别的产品。</w:t>
      </w:r>
    </w:p>
    <w:p>
      <w:pPr>
        <w:pStyle w:val="BodyText"/>
        <w:kinsoku w:val="0"/>
        <w:overflowPunct w:val="0"/>
        <w:spacing w:before="28"/>
        <w:ind w:left="628"/>
        <w:rPr>
          <w:rFonts w:hint="default"/>
        </w:rPr>
      </w:pPr>
      <w:r>
        <w:t>31.2.2</w:t>
      </w:r>
      <w:r>
        <w:rPr>
          <w:spacing w:val="-1"/>
        </w:rPr>
        <w:t xml:space="preserve"> </w:t>
      </w:r>
      <w:r>
        <w:t>所报产品属于财政部和国家发改委公布的当期《节能产品政府采购清单》中</w:t>
      </w:r>
    </w:p>
    <w:p>
      <w:pPr>
        <w:kinsoku w:val="0"/>
        <w:overflowPunct w:val="0"/>
        <w:spacing w:before="9" w:line="220" w:lineRule="exact"/>
        <w:rPr>
          <w:rFonts w:eastAsia="Times New Roman" w:hint="default"/>
          <w:sz w:val="22"/>
        </w:rPr>
      </w:pPr>
    </w:p>
    <w:p>
      <w:pPr>
        <w:pStyle w:val="BodyText"/>
        <w:kinsoku w:val="0"/>
        <w:overflowPunct w:val="0"/>
        <w:spacing w:line="340" w:lineRule="auto"/>
        <w:ind w:right="114"/>
        <w:rPr>
          <w:rFonts w:hint="default"/>
        </w:rPr>
      </w:pPr>
      <w:r>
        <w:rPr>
          <w:spacing w:val="-29"/>
        </w:rPr>
        <w:t>以</w:t>
      </w:r>
      <w:r>
        <w:t>“★</w:t>
      </w:r>
      <w:r>
        <w:rPr>
          <w:spacing w:val="-29"/>
        </w:rPr>
        <w:t>”</w:t>
      </w:r>
      <w:r>
        <w:t>标注类别的</w:t>
      </w:r>
      <w:r>
        <w:rPr>
          <w:spacing w:val="-3"/>
        </w:rPr>
        <w:t>节</w:t>
      </w:r>
      <w:r>
        <w:t>能产品</w:t>
      </w:r>
      <w:r>
        <w:rPr>
          <w:spacing w:val="-29"/>
        </w:rPr>
        <w:t>，</w:t>
      </w:r>
      <w:r>
        <w:t>供应商需在响应文件中提供产品</w:t>
      </w:r>
      <w:r>
        <w:rPr>
          <w:spacing w:val="-29"/>
        </w:rPr>
        <w:t>在</w:t>
      </w:r>
      <w:r>
        <w:t>《节能产品政府采购清单》中的单页复印件一份, 并在复印件上标注出所投产品及型号。</w:t>
      </w:r>
    </w:p>
    <w:p>
      <w:pPr>
        <w:pStyle w:val="BodyText"/>
        <w:kinsoku w:val="0"/>
        <w:overflowPunct w:val="0"/>
        <w:spacing w:line="340" w:lineRule="auto"/>
        <w:ind w:right="227" w:firstLine="480"/>
        <w:jc w:val="both"/>
        <w:rPr>
          <w:rFonts w:hint="default"/>
        </w:rPr>
      </w:pPr>
      <w:r>
        <w:t>31.2.3</w:t>
      </w:r>
      <w:r>
        <w:rPr>
          <w:spacing w:val="-61"/>
        </w:rPr>
        <w:t xml:space="preserve"> </w:t>
      </w:r>
      <w:r>
        <w:rPr>
          <w:spacing w:val="-2"/>
        </w:rPr>
        <w:t>当期“节能清单”可通过中国政府采购网（</w:t>
      </w:r>
      <w:r>
        <w:fldChar w:fldCharType="begin"/>
      </w:r>
      <w:r>
        <w:instrText xml:space="preserve"> HYPERLINK "http://www.ccgp.gov.cn/" </w:instrText>
      </w:r>
      <w:r>
        <w:fldChar w:fldCharType="separate"/>
      </w:r>
      <w:r>
        <w:rPr>
          <w:spacing w:val="-2"/>
        </w:rPr>
        <w:t>http://www.ccgp.gov.cn/</w:t>
      </w:r>
      <w:r>
        <w:rPr>
          <w:spacing w:val="-2"/>
        </w:rPr>
        <w:fldChar w:fldCharType="end"/>
      </w:r>
      <w:r>
        <w:rPr>
          <w:spacing w:val="-2"/>
        </w:rPr>
        <w:t>）、国</w:t>
      </w:r>
      <w:r>
        <w:t>家发展改革委网站（</w:t>
      </w:r>
      <w:r>
        <w:fldChar w:fldCharType="begin"/>
      </w:r>
      <w:r>
        <w:instrText xml:space="preserve"> HYPERLINK "http://hzs.ndrc.gov.cn/" </w:instrText>
      </w:r>
      <w:r>
        <w:fldChar w:fldCharType="separate"/>
      </w:r>
      <w:r>
        <w:t>http://hzs.ndrc.gov.cn/</w:t>
      </w:r>
      <w:r>
        <w:fldChar w:fldCharType="end"/>
      </w:r>
      <w:r>
        <w:t>）查阅、下载；当期“环境标志产品政府</w:t>
      </w:r>
      <w:r>
        <w:rPr>
          <w:spacing w:val="3"/>
        </w:rPr>
        <w:t>采购清单”</w:t>
      </w:r>
      <w:r>
        <w:rPr>
          <w:spacing w:val="10"/>
        </w:rPr>
        <w:t xml:space="preserve"> </w:t>
      </w:r>
      <w:r>
        <w:rPr>
          <w:spacing w:val="1"/>
        </w:rPr>
        <w:t>可通过中国政府采购网（</w:t>
      </w:r>
      <w:r>
        <w:fldChar w:fldCharType="begin"/>
      </w:r>
      <w:r>
        <w:instrText xml:space="preserve"> HYPERLINK "http://www.ccgp.gov.cn/" </w:instrText>
      </w:r>
      <w:r>
        <w:fldChar w:fldCharType="separate"/>
      </w:r>
      <w:r>
        <w:rPr>
          <w:spacing w:val="1"/>
        </w:rPr>
        <w:t>http://www.ccgp.gov.cn/</w:t>
      </w:r>
      <w:r>
        <w:rPr>
          <w:spacing w:val="1"/>
        </w:rPr>
        <w:fldChar w:fldCharType="end"/>
      </w:r>
      <w:r>
        <w:rPr>
          <w:spacing w:val="1"/>
        </w:rPr>
        <w:t>）、国家环境保护部网</w:t>
      </w:r>
    </w:p>
    <w:p>
      <w:pPr>
        <w:pStyle w:val="BodyText"/>
        <w:kinsoku w:val="0"/>
        <w:overflowPunct w:val="0"/>
        <w:spacing w:before="28" w:line="341" w:lineRule="auto"/>
        <w:ind w:left="628" w:right="4338" w:hanging="481"/>
        <w:rPr>
          <w:rFonts w:hint="default"/>
        </w:rPr>
      </w:pPr>
      <w:r>
        <w:t>（</w:t>
      </w:r>
      <w:r>
        <w:fldChar w:fldCharType="begin"/>
      </w:r>
      <w:r>
        <w:instrText xml:space="preserve"> HYPERLINK "http://www.sepa.gov.cn/" </w:instrText>
      </w:r>
      <w:r>
        <w:fldChar w:fldCharType="separate"/>
      </w:r>
      <w:r>
        <w:t>http://www.sepa.gov.cn/</w:t>
      </w:r>
      <w:r>
        <w:fldChar w:fldCharType="end"/>
      </w:r>
      <w:r>
        <w:t>）查阅、下载。</w:t>
      </w:r>
    </w:p>
    <w:p>
      <w:pPr>
        <w:pStyle w:val="BodyText"/>
        <w:kinsoku w:val="0"/>
        <w:overflowPunct w:val="0"/>
        <w:spacing w:before="28" w:line="341" w:lineRule="auto"/>
        <w:ind w:right="4338" w:firstLine="480" w:firstLineChars="200"/>
        <w:rPr>
          <w:rFonts w:hint="default"/>
        </w:rPr>
      </w:pPr>
      <w:r>
        <w:t xml:space="preserve"> 31.3</w:t>
      </w:r>
      <w:r>
        <w:rPr>
          <w:spacing w:val="-61"/>
        </w:rPr>
        <w:t xml:space="preserve"> </w:t>
      </w:r>
      <w:r>
        <w:t>关于残疾人福利性单位：</w:t>
      </w:r>
    </w:p>
    <w:p>
      <w:pPr>
        <w:pStyle w:val="BodyText"/>
        <w:kinsoku w:val="0"/>
        <w:overflowPunct w:val="0"/>
        <w:spacing w:before="27"/>
        <w:ind w:left="628"/>
        <w:rPr>
          <w:rFonts w:hint="default"/>
          <w:spacing w:val="6"/>
        </w:rPr>
      </w:pPr>
      <w:r>
        <w:t>31.3.1</w:t>
      </w:r>
      <w:r>
        <w:rPr>
          <w:spacing w:val="7"/>
        </w:rPr>
        <w:t xml:space="preserve"> </w:t>
      </w:r>
      <w:r>
        <w:rPr>
          <w:spacing w:val="6"/>
        </w:rPr>
        <w:t>根据《三部门联合发布关于促进残疾人就业政府采购政策的通知》（财库</w:t>
      </w:r>
    </w:p>
    <w:p>
      <w:pPr>
        <w:pStyle w:val="BodyText"/>
        <w:kinsoku w:val="0"/>
        <w:overflowPunct w:val="0"/>
        <w:spacing w:before="129" w:line="342" w:lineRule="auto"/>
        <w:ind w:right="114"/>
        <w:rPr>
          <w:rFonts w:hint="default"/>
        </w:rPr>
      </w:pPr>
      <w:r>
        <w:rPr>
          <w:spacing w:val="-3"/>
        </w:rPr>
        <w:t>〔2017〕141</w:t>
      </w:r>
      <w:r>
        <w:rPr>
          <w:spacing w:val="-60"/>
        </w:rPr>
        <w:t xml:space="preserve"> </w:t>
      </w:r>
      <w:r>
        <w:rPr>
          <w:spacing w:val="-2"/>
        </w:rPr>
        <w:t>号）的规定，享受政府采购支持政策的残疾人福利性单位应当同时满足以下</w:t>
      </w:r>
      <w:r>
        <w:t>条件：</w:t>
      </w:r>
    </w:p>
    <w:p>
      <w:pPr>
        <w:pStyle w:val="BodyText"/>
        <w:kinsoku w:val="0"/>
        <w:overflowPunct w:val="0"/>
        <w:spacing w:before="27" w:line="339" w:lineRule="auto"/>
        <w:ind w:right="237" w:firstLine="480"/>
        <w:jc w:val="both"/>
        <w:rPr>
          <w:rFonts w:hint="default"/>
        </w:rPr>
      </w:pPr>
      <w:r>
        <w:t>（一）安置的残疾人占本单位在职职工人数的比例不低于</w:t>
      </w:r>
      <w:r>
        <w:rPr>
          <w:spacing w:val="-60"/>
        </w:rPr>
        <w:t xml:space="preserve"> </w:t>
      </w:r>
      <w:r>
        <w:t>25%（含</w:t>
      </w:r>
      <w:r>
        <w:rPr>
          <w:spacing w:val="-60"/>
        </w:rPr>
        <w:t xml:space="preserve"> </w:t>
      </w:r>
      <w:r>
        <w:t>25%），并且安置的残疾人人数不少于</w:t>
      </w:r>
      <w:r>
        <w:rPr>
          <w:spacing w:val="-60"/>
        </w:rPr>
        <w:t xml:space="preserve"> </w:t>
      </w:r>
      <w:r>
        <w:t>10</w:t>
      </w:r>
      <w:r>
        <w:rPr>
          <w:spacing w:val="-60"/>
        </w:rPr>
        <w:t xml:space="preserve"> </w:t>
      </w:r>
      <w:r>
        <w:t>人（含</w:t>
      </w:r>
      <w:r>
        <w:rPr>
          <w:spacing w:val="-60"/>
        </w:rPr>
        <w:t xml:space="preserve"> </w:t>
      </w:r>
      <w:r>
        <w:t>10</w:t>
      </w:r>
      <w:r>
        <w:rPr>
          <w:spacing w:val="-60"/>
        </w:rPr>
        <w:t xml:space="preserve"> </w:t>
      </w:r>
      <w:r>
        <w:t>人）；</w:t>
      </w:r>
    </w:p>
    <w:p>
      <w:pPr>
        <w:pStyle w:val="BodyText"/>
        <w:kinsoku w:val="0"/>
        <w:overflowPunct w:val="0"/>
        <w:spacing w:before="31"/>
        <w:ind w:left="628"/>
        <w:rPr>
          <w:rFonts w:hint="default"/>
        </w:rPr>
      </w:pPr>
      <w:r>
        <w:t>（二）依法与安置的每位残疾人签订了一年以上（含一年）的劳动合同或服务协议；</w:t>
      </w:r>
    </w:p>
    <w:p>
      <w:pPr>
        <w:pStyle w:val="BodyText"/>
        <w:kinsoku w:val="0"/>
        <w:overflowPunct w:val="0"/>
        <w:spacing w:before="129" w:line="339" w:lineRule="auto"/>
        <w:ind w:right="114" w:firstLine="480"/>
        <w:rPr>
          <w:rFonts w:hint="default"/>
        </w:rPr>
      </w:pPr>
      <w:r>
        <w:t>（三</w:t>
      </w:r>
      <w:r>
        <w:rPr>
          <w:spacing w:val="-80"/>
        </w:rPr>
        <w:t>）</w:t>
      </w:r>
      <w:r>
        <w:t>为安置的每位残疾人按月足额缴纳了基本养老保险</w:t>
      </w:r>
      <w:r>
        <w:rPr>
          <w:spacing w:val="-80"/>
        </w:rPr>
        <w:t>、</w:t>
      </w:r>
      <w:r>
        <w:t>基本医疗保险</w:t>
      </w:r>
      <w:r>
        <w:rPr>
          <w:spacing w:val="-80"/>
        </w:rPr>
        <w:t>、</w:t>
      </w:r>
      <w:r>
        <w:t>失业保险、工伤保险和生育保险等社会保险费；</w:t>
      </w:r>
    </w:p>
    <w:p>
      <w:pPr>
        <w:pStyle w:val="BodyText"/>
        <w:kinsoku w:val="0"/>
        <w:overflowPunct w:val="0"/>
        <w:spacing w:before="31" w:line="339" w:lineRule="auto"/>
        <w:ind w:right="237" w:firstLine="480"/>
        <w:jc w:val="both"/>
        <w:rPr>
          <w:rFonts w:hint="default"/>
        </w:rPr>
      </w:pPr>
      <w:r>
        <w:t>（四</w:t>
      </w:r>
      <w:r>
        <w:rPr>
          <w:spacing w:val="-60"/>
        </w:rPr>
        <w:t>）</w:t>
      </w:r>
      <w:r>
        <w:t>通过银行等金融机构向安置的每位残疾人</w:t>
      </w:r>
      <w:r>
        <w:rPr>
          <w:spacing w:val="-60"/>
        </w:rPr>
        <w:t>，</w:t>
      </w:r>
      <w:r>
        <w:t>按月支付了不低于单位所在区县适用的经省级人民政府批准的月最低工资标准的工资；</w:t>
      </w:r>
    </w:p>
    <w:p>
      <w:pPr>
        <w:pStyle w:val="BodyText"/>
        <w:kinsoku w:val="0"/>
        <w:overflowPunct w:val="0"/>
        <w:spacing w:line="341" w:lineRule="auto"/>
        <w:ind w:right="237" w:firstLine="480"/>
        <w:jc w:val="both"/>
        <w:rPr>
          <w:rFonts w:hint="default"/>
        </w:rPr>
      </w:pPr>
      <w:r>
        <w:rPr>
          <w:spacing w:val="-4"/>
        </w:rPr>
        <w:t>（五）提供本单位制造的货物、承担的工程或者服务（以下简称产品），或者提供其</w:t>
      </w:r>
      <w:r>
        <w:t>他残疾人福利性单位制造的货物（不包括使用非残疾人福利性单位注册商标的货物）。</w:t>
      </w:r>
    </w:p>
    <w:p>
      <w:pPr>
        <w:pStyle w:val="BodyText"/>
        <w:kinsoku w:val="0"/>
        <w:overflowPunct w:val="0"/>
        <w:spacing w:before="27" w:line="340" w:lineRule="auto"/>
        <w:ind w:right="234" w:firstLine="480"/>
        <w:jc w:val="both"/>
        <w:rPr>
          <w:rFonts w:hint="default"/>
        </w:rPr>
      </w:pPr>
      <w:r>
        <w:t>前款所称残疾人是指法定劳动年龄内</w:t>
      </w:r>
      <w:r>
        <w:rPr>
          <w:spacing w:val="-29"/>
        </w:rPr>
        <w:t>，</w:t>
      </w:r>
      <w:r>
        <w:t>持</w:t>
      </w:r>
      <w:r>
        <w:rPr>
          <w:spacing w:val="-29"/>
        </w:rPr>
        <w:t>有</w:t>
      </w:r>
      <w:r>
        <w:rPr>
          <w:spacing w:val="-3"/>
        </w:rPr>
        <w:t>《</w:t>
      </w:r>
      <w:r>
        <w:t>中华人民共和国残疾人证</w:t>
      </w:r>
      <w:r>
        <w:rPr>
          <w:spacing w:val="-29"/>
        </w:rPr>
        <w:t>》</w:t>
      </w:r>
      <w:r>
        <w:t>或</w:t>
      </w:r>
      <w:r>
        <w:rPr>
          <w:spacing w:val="-29"/>
        </w:rPr>
        <w:t>者</w:t>
      </w:r>
      <w:r>
        <w:t>《中华</w:t>
      </w:r>
      <w:r>
        <w:rPr>
          <w:spacing w:val="-2"/>
        </w:rPr>
        <w:t>人民共和国残疾军人证（1</w:t>
      </w:r>
      <w:r>
        <w:rPr>
          <w:spacing w:val="-60"/>
        </w:rPr>
        <w:t xml:space="preserve"> </w:t>
      </w:r>
      <w:r>
        <w:t>至</w:t>
      </w:r>
      <w:r>
        <w:rPr>
          <w:spacing w:val="-60"/>
        </w:rPr>
        <w:t xml:space="preserve"> </w:t>
      </w:r>
      <w:r>
        <w:t>8</w:t>
      </w:r>
      <w:r>
        <w:rPr>
          <w:spacing w:val="-60"/>
        </w:rPr>
        <w:t xml:space="preserve"> </w:t>
      </w:r>
      <w:r>
        <w:rPr>
          <w:spacing w:val="-2"/>
        </w:rPr>
        <w:t>级）》的自然人，包括具有劳动条件和劳动意愿的精神残</w:t>
      </w:r>
      <w:r>
        <w:t>疾人</w:t>
      </w:r>
      <w:r>
        <w:rPr>
          <w:spacing w:val="-120"/>
        </w:rPr>
        <w:t>。</w:t>
      </w:r>
      <w:r>
        <w:t>在职职工人数是指与残疾人福利性单位建立劳动关系并依法签订劳动合同或者服务协议的雇员人数。</w:t>
      </w:r>
    </w:p>
    <w:p>
      <w:pPr>
        <w:pStyle w:val="BodyText"/>
        <w:kinsoku w:val="0"/>
        <w:overflowPunct w:val="0"/>
        <w:spacing w:before="28" w:line="340" w:lineRule="auto"/>
        <w:ind w:right="234" w:firstLine="480"/>
        <w:jc w:val="both"/>
        <w:rPr>
          <w:rFonts w:hint="default"/>
        </w:rPr>
      </w:pPr>
      <w:r>
        <w:t>31.3.2</w:t>
      </w:r>
      <w:r>
        <w:rPr>
          <w:spacing w:val="-1"/>
        </w:rPr>
        <w:t xml:space="preserve"> </w:t>
      </w:r>
      <w:r>
        <w:t>符合条件的残疾人福利性单位在参加政府采购活动时，应当按《三部门联合</w:t>
      </w:r>
      <w:r>
        <w:rPr>
          <w:spacing w:val="-2"/>
        </w:rPr>
        <w:t>发布关于促进残疾人就业政府采购政策的通知》（财库〔2017〕141</w:t>
      </w:r>
      <w:r>
        <w:rPr>
          <w:spacing w:val="-60"/>
        </w:rPr>
        <w:t xml:space="preserve"> </w:t>
      </w:r>
      <w:r>
        <w:rPr>
          <w:spacing w:val="-3"/>
        </w:rPr>
        <w:t>号）提供规定的《残</w:t>
      </w:r>
      <w:r>
        <w:t>疾人福利性单位声明函》，并对声明的真实性负责。</w:t>
      </w:r>
    </w:p>
    <w:p>
      <w:pPr>
        <w:pStyle w:val="BodyText"/>
        <w:kinsoku w:val="0"/>
        <w:overflowPunct w:val="0"/>
        <w:spacing w:line="322" w:lineRule="auto"/>
        <w:ind w:firstLine="480"/>
        <w:rPr>
          <w:rFonts w:hint="default"/>
        </w:rPr>
      </w:pPr>
      <w:r>
        <w:t>31.3.3</w:t>
      </w:r>
      <w:r>
        <w:rPr>
          <w:spacing w:val="-61"/>
        </w:rPr>
        <w:t xml:space="preserve"> </w:t>
      </w:r>
      <w:r>
        <w:t>本项目针对残疾人福利性单位产品的价格给予</w:t>
      </w:r>
      <w:r>
        <w:rPr>
          <w:spacing w:val="-59"/>
        </w:rPr>
        <w:t xml:space="preserve"> </w:t>
      </w:r>
      <w:r>
        <w:t>6%的扣除，用扣除后的价格参与评审。残疾人福利性单位属于小型、微型企业的，不重复享受政策。</w:t>
      </w:r>
    </w:p>
    <w:p>
      <w:pPr>
        <w:pStyle w:val="BodyText"/>
        <w:kinsoku w:val="0"/>
        <w:overflowPunct w:val="0"/>
        <w:spacing w:line="322" w:lineRule="auto"/>
        <w:ind w:firstLine="480"/>
        <w:rPr>
          <w:rFonts w:ascii="黑体" w:eastAsia="黑体" w:hAnsi="黑体" w:hint="default"/>
          <w:spacing w:val="-1"/>
          <w:sz w:val="28"/>
        </w:rPr>
      </w:pPr>
      <w:r>
        <w:t xml:space="preserve"> </w:t>
      </w:r>
      <w:r>
        <w:rPr>
          <w:rFonts w:ascii="Times New Roman" w:eastAsia="Times New Roman" w:hint="default"/>
          <w:spacing w:val="-1"/>
          <w:sz w:val="28"/>
        </w:rPr>
        <w:t>32.</w:t>
      </w:r>
      <w:r>
        <w:rPr>
          <w:rFonts w:ascii="黑体" w:eastAsia="黑体" w:hAnsi="黑体"/>
          <w:spacing w:val="-1"/>
          <w:sz w:val="28"/>
        </w:rPr>
        <w:t>电子招标投标注意事项及要求</w:t>
      </w:r>
    </w:p>
    <w:p>
      <w:pPr>
        <w:pStyle w:val="BodyText"/>
        <w:kinsoku w:val="0"/>
        <w:overflowPunct w:val="0"/>
        <w:spacing w:before="0" w:line="305" w:lineRule="exact"/>
        <w:ind w:left="628"/>
        <w:rPr>
          <w:rFonts w:hint="default"/>
        </w:rPr>
      </w:pPr>
      <w:r>
        <w:t>32.1</w:t>
      </w:r>
      <w:r>
        <w:rPr>
          <w:spacing w:val="-61"/>
        </w:rPr>
        <w:t xml:space="preserve"> </w:t>
      </w:r>
      <w:r>
        <w:t>电子投标文件的组成及要求：</w:t>
      </w:r>
    </w:p>
    <w:p>
      <w:pPr>
        <w:pStyle w:val="BodyText"/>
        <w:kinsoku w:val="0"/>
        <w:overflowPunct w:val="0"/>
        <w:spacing w:before="131"/>
        <w:ind w:left="628"/>
        <w:rPr>
          <w:rFonts w:hint="default"/>
          <w:sz w:val="20"/>
        </w:rPr>
      </w:pPr>
      <w:r>
        <w:t>（</w:t>
      </w:r>
      <w:r>
        <w:rPr>
          <w:spacing w:val="-1"/>
        </w:rPr>
        <w:t>1</w:t>
      </w:r>
      <w:r>
        <w:rPr>
          <w:spacing w:val="-29"/>
        </w:rPr>
        <w:t>）</w:t>
      </w:r>
      <w:r>
        <w:t>投标文件全部采用电子文档</w:t>
      </w:r>
      <w:r>
        <w:rPr>
          <w:spacing w:val="-29"/>
        </w:rPr>
        <w:t>，</w:t>
      </w:r>
      <w:r>
        <w:t>格式为*.ZCZBJ</w:t>
      </w:r>
      <w:r>
        <w:rPr>
          <w:spacing w:val="-29"/>
        </w:rPr>
        <w:t>。</w:t>
      </w:r>
      <w:r>
        <w:t>必须使</w:t>
      </w:r>
      <w:r>
        <w:rPr>
          <w:spacing w:val="-29"/>
        </w:rPr>
        <w:t>用</w:t>
      </w:r>
      <w:r>
        <w:t>《</w:t>
      </w:r>
      <w:r>
        <w:rPr>
          <w:spacing w:val="-3"/>
        </w:rPr>
        <w:t>云</w:t>
      </w:r>
      <w:r>
        <w:t>南省政府采购投标</w:t>
      </w:r>
    </w:p>
    <w:p>
      <w:pPr>
        <w:pStyle w:val="BodyText"/>
        <w:kinsoku w:val="0"/>
        <w:overflowPunct w:val="0"/>
        <w:rPr>
          <w:rFonts w:hint="default"/>
        </w:rPr>
      </w:pPr>
      <w:r>
        <w:t>文件编制系统》制作。（如果有视频文件和图纸文件的话，格式为*.ZCTBY、*ZCTBT）</w:t>
      </w:r>
    </w:p>
    <w:p>
      <w:pPr>
        <w:pStyle w:val="BodyText"/>
        <w:kinsoku w:val="0"/>
        <w:overflowPunct w:val="0"/>
        <w:spacing w:before="129" w:line="339" w:lineRule="auto"/>
        <w:ind w:right="236" w:firstLine="480"/>
        <w:jc w:val="both"/>
        <w:rPr>
          <w:rFonts w:hint="default"/>
        </w:rPr>
      </w:pPr>
      <w:r>
        <w:rPr>
          <w:spacing w:val="-1"/>
        </w:rPr>
        <w:t>（2）在编制技术标投标文件时，粘贴图片使用</w:t>
      </w:r>
      <w:r>
        <w:rPr>
          <w:spacing w:val="-59"/>
        </w:rPr>
        <w:t xml:space="preserve"> </w:t>
      </w:r>
      <w:r>
        <w:t>JPG</w:t>
      </w:r>
      <w:r>
        <w:rPr>
          <w:spacing w:val="-60"/>
        </w:rPr>
        <w:t xml:space="preserve"> </w:t>
      </w:r>
      <w:r>
        <w:t>格式的文件，并且每张图片的分辩率应小于</w:t>
      </w:r>
      <w:r>
        <w:rPr>
          <w:spacing w:val="-60"/>
        </w:rPr>
        <w:t xml:space="preserve"> </w:t>
      </w:r>
      <w:r>
        <w:t>100dpi，最终的每份电子投标文件所占用的磁盘空间必须小于</w:t>
      </w:r>
      <w:r>
        <w:rPr>
          <w:spacing w:val="-59"/>
        </w:rPr>
        <w:t xml:space="preserve"> </w:t>
      </w:r>
      <w:r>
        <w:t>50M。</w:t>
      </w:r>
    </w:p>
    <w:p>
      <w:pPr>
        <w:pStyle w:val="BodyText"/>
        <w:kinsoku w:val="0"/>
        <w:overflowPunct w:val="0"/>
        <w:spacing w:before="31"/>
        <w:ind w:left="628"/>
        <w:rPr>
          <w:rFonts w:hint="default"/>
        </w:rPr>
      </w:pPr>
      <w:r>
        <w:t>32.2</w:t>
      </w:r>
      <w:r>
        <w:rPr>
          <w:spacing w:val="-61"/>
        </w:rPr>
        <w:t xml:space="preserve"> </w:t>
      </w:r>
      <w:r>
        <w:t>电子招标文件的修改：</w:t>
      </w:r>
    </w:p>
    <w:p>
      <w:pPr>
        <w:pStyle w:val="BodyText"/>
        <w:kinsoku w:val="0"/>
        <w:overflowPunct w:val="0"/>
        <w:spacing w:before="129" w:line="340" w:lineRule="auto"/>
        <w:ind w:right="237" w:firstLine="480"/>
        <w:jc w:val="both"/>
        <w:rPr>
          <w:rFonts w:hint="default"/>
        </w:rPr>
      </w:pPr>
      <w:r>
        <w:rPr>
          <w:spacing w:val="-1"/>
        </w:rPr>
        <w:t>（1）采购人对招标文件中的采购清单、评标办法、评审项目等重要评审内容做出变</w:t>
      </w:r>
      <w:r>
        <w:rPr>
          <w:spacing w:val="2"/>
        </w:rPr>
        <w:t>更，将同时发布补遗文件进行说明以保证各供应商都能重新下载并用于编制电子投标文</w:t>
      </w:r>
      <w:r>
        <w:t>件。</w:t>
      </w:r>
    </w:p>
    <w:p>
      <w:pPr>
        <w:pStyle w:val="BodyText"/>
        <w:kinsoku w:val="0"/>
        <w:overflowPunct w:val="0"/>
        <w:spacing w:before="28" w:line="340" w:lineRule="auto"/>
        <w:ind w:right="237" w:firstLine="480"/>
        <w:jc w:val="both"/>
        <w:rPr>
          <w:rFonts w:hint="default"/>
        </w:rPr>
      </w:pPr>
      <w:r>
        <w:rPr>
          <w:spacing w:val="-1"/>
        </w:rPr>
        <w:t>（2）供应商在收到采购人书面答疑和澄清后，请自行登录云南省政府采购交易平台</w:t>
      </w:r>
      <w:r>
        <w:t>收取修改内容</w:t>
      </w:r>
      <w:r>
        <w:rPr>
          <w:spacing w:val="-41"/>
        </w:rPr>
        <w:t>。</w:t>
      </w:r>
      <w:r>
        <w:t>供应</w:t>
      </w:r>
      <w:r>
        <w:rPr>
          <w:spacing w:val="2"/>
        </w:rPr>
        <w:t>商</w:t>
      </w:r>
      <w:r>
        <w:t>应在截标时间前随时查</w:t>
      </w:r>
      <w:r>
        <w:rPr>
          <w:spacing w:val="-41"/>
        </w:rPr>
        <w:t>看</w:t>
      </w:r>
      <w:r>
        <w:t>“怒江州政府采购交易平台（</w:t>
      </w:r>
      <w:r>
        <w:rPr>
          <w:spacing w:val="-41"/>
        </w:rPr>
        <w:t>”</w:t>
      </w:r>
      <w:r>
        <w:t>中有关</w:t>
      </w:r>
      <w:r>
        <w:rPr>
          <w:spacing w:val="-3"/>
        </w:rPr>
        <w:t>该</w:t>
      </w:r>
      <w:r>
        <w:t>项 目招标文件的答疑、补遗内容。</w:t>
      </w:r>
    </w:p>
    <w:p>
      <w:pPr>
        <w:pStyle w:val="BodyText"/>
        <w:kinsoku w:val="0"/>
        <w:overflowPunct w:val="0"/>
        <w:spacing w:before="28" w:line="339" w:lineRule="auto"/>
        <w:ind w:right="114" w:firstLine="480"/>
        <w:rPr>
          <w:rFonts w:hint="default"/>
        </w:rPr>
      </w:pPr>
      <w:r>
        <w:t>（</w:t>
      </w:r>
      <w:r>
        <w:rPr>
          <w:spacing w:val="-1"/>
        </w:rPr>
        <w:t>3</w:t>
      </w:r>
      <w:r>
        <w:rPr>
          <w:spacing w:val="-41"/>
        </w:rPr>
        <w:t>）</w:t>
      </w:r>
      <w:r>
        <w:t>招标文件澄清</w:t>
      </w:r>
      <w:r>
        <w:rPr>
          <w:spacing w:val="-41"/>
        </w:rPr>
        <w:t>、</w:t>
      </w:r>
      <w:r>
        <w:rPr>
          <w:spacing w:val="2"/>
        </w:rPr>
        <w:t>招</w:t>
      </w:r>
      <w:r>
        <w:t>标文件修改文件内容均以网上发布的文件为准</w:t>
      </w:r>
      <w:r>
        <w:rPr>
          <w:spacing w:val="-41"/>
        </w:rPr>
        <w:t>，</w:t>
      </w:r>
      <w:r>
        <w:t>当招标文件、 招标文件澄清、招标文件修改文件内容前后相互矛盾时，以最后发出的为准。</w:t>
      </w:r>
    </w:p>
    <w:p>
      <w:pPr>
        <w:pStyle w:val="BodyText"/>
        <w:kinsoku w:val="0"/>
        <w:overflowPunct w:val="0"/>
        <w:spacing w:before="31"/>
        <w:ind w:left="628"/>
        <w:rPr>
          <w:rFonts w:hint="default"/>
        </w:rPr>
      </w:pPr>
      <w:r>
        <w:t>32.3</w:t>
      </w:r>
      <w:r>
        <w:rPr>
          <w:spacing w:val="-61"/>
        </w:rPr>
        <w:t xml:space="preserve"> </w:t>
      </w:r>
      <w:r>
        <w:t>电子投标文件的编制：</w:t>
      </w:r>
    </w:p>
    <w:p>
      <w:pPr>
        <w:pStyle w:val="BodyText"/>
        <w:kinsoku w:val="0"/>
        <w:overflowPunct w:val="0"/>
        <w:spacing w:before="129" w:line="340" w:lineRule="auto"/>
        <w:ind w:right="114" w:firstLine="480"/>
        <w:rPr>
          <w:rFonts w:hint="default"/>
        </w:rPr>
      </w:pPr>
      <w:r>
        <w:rPr>
          <w:spacing w:val="-1"/>
        </w:rPr>
        <w:t>（1）电子投标文件必须使用《云南省政府采购投标文件编制系统》制作（电子投标</w:t>
      </w:r>
      <w:r>
        <w:rPr>
          <w:spacing w:val="72"/>
        </w:rPr>
        <w:t xml:space="preserve"> </w:t>
      </w:r>
      <w:r>
        <w:t>文件格式为*.ZCZBJ</w:t>
      </w:r>
      <w:r>
        <w:rPr>
          <w:spacing w:val="-48"/>
        </w:rPr>
        <w:t>）</w:t>
      </w:r>
      <w:r>
        <w:rPr>
          <w:spacing w:val="-96"/>
        </w:rPr>
        <w:t>。</w:t>
      </w:r>
      <w:r>
        <w:t>（如果有视频文件和图纸文件的话</w:t>
      </w:r>
      <w:r>
        <w:rPr>
          <w:spacing w:val="-48"/>
        </w:rPr>
        <w:t>，</w:t>
      </w:r>
      <w:r>
        <w:t>制作格式</w:t>
      </w:r>
      <w:r>
        <w:rPr>
          <w:spacing w:val="1"/>
        </w:rPr>
        <w:t>为</w:t>
      </w:r>
      <w:r>
        <w:t>*.ZCTBY</w:t>
      </w:r>
      <w:r>
        <w:rPr>
          <w:spacing w:val="-48"/>
        </w:rPr>
        <w:t>、</w:t>
      </w:r>
      <w:r>
        <w:t>*ZCTBT） 编制要求见供应商须知正文附件《电子投标文件编制及报送要求》。</w:t>
      </w:r>
    </w:p>
    <w:p>
      <w:pPr>
        <w:pStyle w:val="BodyText"/>
        <w:kinsoku w:val="0"/>
        <w:overflowPunct w:val="0"/>
        <w:spacing w:before="28" w:line="339" w:lineRule="auto"/>
        <w:ind w:right="114" w:firstLine="480"/>
        <w:rPr>
          <w:rFonts w:hint="default"/>
        </w:rPr>
      </w:pPr>
      <w:r>
        <w:rPr>
          <w:spacing w:val="-1"/>
        </w:rPr>
        <w:t>（2）如供应商提交的电子投标文件不符合（1）要求或开标时无法读取导入或解密，</w:t>
      </w:r>
      <w:r>
        <w:rPr>
          <w:spacing w:val="74"/>
        </w:rPr>
        <w:t xml:space="preserve"> </w:t>
      </w:r>
      <w:r>
        <w:t>其投标文件视为未按要求提交。</w:t>
      </w:r>
    </w:p>
    <w:p>
      <w:pPr>
        <w:pStyle w:val="BodyText"/>
        <w:kinsoku w:val="0"/>
        <w:overflowPunct w:val="0"/>
        <w:spacing w:before="32" w:line="339" w:lineRule="auto"/>
        <w:ind w:left="628" w:firstLine="479"/>
        <w:rPr>
          <w:rFonts w:hint="default"/>
        </w:rPr>
      </w:pPr>
      <w:r>
        <w:t>32.4 电子投标文件的签章和签名要求：按照投标文件格式</w:t>
      </w:r>
      <w:r>
        <w:rPr>
          <w:spacing w:val="-60"/>
        </w:rPr>
        <w:t>，</w:t>
      </w:r>
      <w:r>
        <w:t>采用单位和个人数字证书电子签名及电子签章</w:t>
      </w:r>
      <w:r>
        <w:rPr>
          <w:spacing w:val="-60"/>
        </w:rPr>
        <w:t>：</w:t>
      </w:r>
      <w:r>
        <w:t xml:space="preserve">投标文件需要企业、法定代表人电子签章及电子签名。 </w:t>
      </w:r>
    </w:p>
    <w:p>
      <w:pPr>
        <w:pStyle w:val="BodyText"/>
        <w:kinsoku w:val="0"/>
        <w:overflowPunct w:val="0"/>
        <w:spacing w:before="32" w:line="339" w:lineRule="auto"/>
        <w:ind w:left="628" w:firstLine="479"/>
        <w:rPr>
          <w:rFonts w:hint="default"/>
        </w:rPr>
      </w:pPr>
      <w:r>
        <w:t>32.5</w:t>
      </w:r>
      <w:r>
        <w:rPr>
          <w:spacing w:val="-61"/>
        </w:rPr>
        <w:t xml:space="preserve"> </w:t>
      </w:r>
      <w:r>
        <w:t>电子投标文件的递交及份数：</w:t>
      </w:r>
    </w:p>
    <w:p>
      <w:pPr>
        <w:pStyle w:val="BodyText"/>
        <w:kinsoku w:val="0"/>
        <w:overflowPunct w:val="0"/>
        <w:spacing w:before="27" w:line="340" w:lineRule="auto"/>
        <w:ind w:right="236" w:firstLine="480"/>
        <w:jc w:val="both"/>
        <w:rPr>
          <w:rFonts w:hint="default"/>
        </w:rPr>
      </w:pPr>
      <w:r>
        <w:t>（</w:t>
      </w:r>
      <w:r>
        <w:rPr>
          <w:spacing w:val="-1"/>
        </w:rPr>
        <w:t>1</w:t>
      </w:r>
      <w:r>
        <w:t>）网上递交，供应商须在投标截止时间前完成所有投标文件的上传</w:t>
      </w:r>
      <w:r>
        <w:rPr>
          <w:spacing w:val="-41"/>
        </w:rPr>
        <w:t>，</w:t>
      </w:r>
      <w:r>
        <w:t>网上确认电子签名和电子签章</w:t>
      </w:r>
      <w:r>
        <w:rPr>
          <w:spacing w:val="-41"/>
        </w:rPr>
        <w:t>，</w:t>
      </w:r>
      <w:r>
        <w:t>并打</w:t>
      </w:r>
      <w:r>
        <w:rPr>
          <w:spacing w:val="-41"/>
        </w:rPr>
        <w:t>印</w:t>
      </w:r>
      <w:r>
        <w:t>“上传投标 文件回执</w:t>
      </w:r>
      <w:r>
        <w:rPr>
          <w:spacing w:val="-24"/>
        </w:rPr>
        <w:t>”，</w:t>
      </w:r>
      <w:r>
        <w:t>投标截止时间前未完成投标文件传输的</w:t>
      </w:r>
      <w:r>
        <w:rPr>
          <w:spacing w:val="-24"/>
        </w:rPr>
        <w:t>，</w:t>
      </w:r>
      <w:r>
        <w:t>视为未按要求提交</w:t>
      </w:r>
      <w:r>
        <w:rPr>
          <w:spacing w:val="-48"/>
        </w:rPr>
        <w:t>。</w:t>
      </w:r>
      <w:r>
        <w:t>（网上递交电 子投标文件时</w:t>
      </w:r>
      <w:r>
        <w:rPr>
          <w:spacing w:val="-60"/>
        </w:rPr>
        <w:t>，</w:t>
      </w:r>
      <w:r>
        <w:t>只能递交技术标文</w:t>
      </w:r>
      <w:r>
        <w:rPr>
          <w:spacing w:val="1"/>
        </w:rPr>
        <w:t>件</w:t>
      </w:r>
      <w:r>
        <w:t>*.ZCZBJ</w:t>
      </w:r>
      <w:r>
        <w:rPr>
          <w:spacing w:val="-60"/>
        </w:rPr>
        <w:t>，</w:t>
      </w:r>
      <w:r>
        <w:t>视频文件*.ZCTBY</w:t>
      </w:r>
      <w:r>
        <w:rPr>
          <w:spacing w:val="-60"/>
        </w:rPr>
        <w:t xml:space="preserve"> </w:t>
      </w:r>
      <w:r>
        <w:t>和图纸文件*.ZCTBT</w:t>
      </w:r>
      <w:r>
        <w:rPr>
          <w:spacing w:val="-60"/>
        </w:rPr>
        <w:t xml:space="preserve"> </w:t>
      </w:r>
      <w:r>
        <w:t>需要 在开标时线下导入</w:t>
      </w:r>
      <w:r>
        <w:rPr>
          <w:spacing w:val="-60"/>
        </w:rPr>
        <w:t>，</w:t>
      </w:r>
      <w:r>
        <w:t>投标人将生成的视频和图纸文件拷贝到</w:t>
      </w:r>
      <w:r>
        <w:rPr>
          <w:spacing w:val="-59"/>
        </w:rPr>
        <w:t xml:space="preserve"> </w:t>
      </w:r>
      <w:r>
        <w:t>U</w:t>
      </w:r>
      <w:r>
        <w:rPr>
          <w:spacing w:val="-60"/>
        </w:rPr>
        <w:t xml:space="preserve"> </w:t>
      </w:r>
      <w:r>
        <w:t>盘中</w:t>
      </w:r>
      <w:r>
        <w:rPr>
          <w:spacing w:val="-60"/>
        </w:rPr>
        <w:t>，</w:t>
      </w:r>
      <w:r>
        <w:t>再解密投标文件时需 要进行线下导入）</w:t>
      </w:r>
    </w:p>
    <w:p>
      <w:pPr>
        <w:pStyle w:val="BodyText"/>
        <w:kinsoku w:val="0"/>
        <w:overflowPunct w:val="0"/>
        <w:spacing w:before="28" w:line="340" w:lineRule="auto"/>
        <w:ind w:right="234" w:firstLine="480"/>
        <w:jc w:val="both"/>
        <w:rPr>
          <w:rFonts w:hint="default"/>
        </w:rPr>
      </w:pPr>
      <w:r>
        <w:rPr>
          <w:spacing w:val="-2"/>
        </w:rPr>
        <w:t>（2）现场递交光盘：1</w:t>
      </w:r>
      <w:r>
        <w:rPr>
          <w:spacing w:val="-60"/>
        </w:rPr>
        <w:t xml:space="preserve"> </w:t>
      </w:r>
      <w:r>
        <w:rPr>
          <w:spacing w:val="-2"/>
        </w:rPr>
        <w:t>份，光盘内附电子投标文件（格式为：*.ZCZBJ）。（如果有</w:t>
      </w:r>
      <w:r>
        <w:t>视频文件和图纸文件的话，格式为*.ZCTBY、*ZCTBT，将所有格式电子投标文件刻录到光盘或U盘内。）供应商在提交投标文件截止时间前</w:t>
      </w:r>
      <w:r>
        <w:rPr>
          <w:spacing w:val="-120"/>
        </w:rPr>
        <w:t>，</w:t>
      </w:r>
      <w:r>
        <w:t>首先应将电子投标文件上传到怒江州公共资源交易系统</w:t>
      </w:r>
      <w:r>
        <w:rPr>
          <w:spacing w:val="-41"/>
        </w:rPr>
        <w:t>，</w:t>
      </w:r>
      <w:r>
        <w:t>同时到开标现</w:t>
      </w:r>
      <w:r>
        <w:rPr>
          <w:spacing w:val="2"/>
        </w:rPr>
        <w:t>场</w:t>
      </w:r>
      <w:r>
        <w:t>递交</w:t>
      </w:r>
      <w:r>
        <w:rPr>
          <w:spacing w:val="-60"/>
        </w:rPr>
        <w:t xml:space="preserve"> </w:t>
      </w:r>
      <w:r>
        <w:t>1</w:t>
      </w:r>
      <w:r>
        <w:rPr>
          <w:spacing w:val="-60"/>
        </w:rPr>
        <w:t xml:space="preserve"> </w:t>
      </w:r>
      <w:r>
        <w:t>份电子投标文</w:t>
      </w:r>
      <w:r>
        <w:rPr>
          <w:spacing w:val="-41"/>
        </w:rPr>
        <w:t>件</w:t>
      </w:r>
      <w:r>
        <w:t>（光盘</w:t>
      </w:r>
      <w:r>
        <w:rPr>
          <w:spacing w:val="-41"/>
        </w:rPr>
        <w:t>），</w:t>
      </w:r>
      <w:r>
        <w:t>确保电</w:t>
      </w:r>
      <w:r>
        <w:rPr>
          <w:spacing w:val="2"/>
        </w:rPr>
        <w:t>子</w:t>
      </w:r>
      <w:r>
        <w:t>投标文</w:t>
      </w:r>
      <w:r>
        <w:rPr>
          <w:spacing w:val="-41"/>
        </w:rPr>
        <w:t>件</w:t>
      </w:r>
      <w:r>
        <w:rPr>
          <w:spacing w:val="1"/>
        </w:rPr>
        <w:t>（</w:t>
      </w:r>
      <w:r>
        <w:t>光盘</w:t>
      </w:r>
      <w:r>
        <w:rPr>
          <w:spacing w:val="-41"/>
        </w:rPr>
        <w:t>）</w:t>
      </w:r>
      <w:r>
        <w:t>与</w:t>
      </w:r>
      <w:r>
        <w:rPr>
          <w:spacing w:val="2"/>
        </w:rPr>
        <w:t>网</w:t>
      </w:r>
      <w:r>
        <w:t>上上传的电子投标文件一致</w:t>
      </w:r>
      <w:r>
        <w:rPr>
          <w:spacing w:val="-41"/>
        </w:rPr>
        <w:t>，</w:t>
      </w:r>
      <w:r>
        <w:t>若出现不一致，以网上上传的投标文件为准</w:t>
      </w:r>
      <w:r>
        <w:rPr>
          <w:spacing w:val="-60"/>
        </w:rPr>
        <w:t>。</w:t>
      </w:r>
      <w:r>
        <w:t>如果供应商没有按规定网上递交电子投标文件</w:t>
      </w:r>
      <w:r>
        <w:rPr>
          <w:spacing w:val="-60"/>
        </w:rPr>
        <w:t>，</w:t>
      </w:r>
      <w:r>
        <w:t>视为未按要 求提交。</w:t>
      </w:r>
    </w:p>
    <w:p>
      <w:pPr>
        <w:pStyle w:val="BodyText"/>
        <w:kinsoku w:val="0"/>
        <w:overflowPunct w:val="0"/>
        <w:spacing w:before="28" w:line="340" w:lineRule="auto"/>
        <w:ind w:right="234" w:firstLine="480"/>
        <w:jc w:val="both"/>
        <w:rPr>
          <w:rFonts w:hint="default"/>
        </w:rPr>
      </w:pPr>
      <w:r>
        <w:t>（</w:t>
      </w:r>
      <w:r>
        <w:rPr>
          <w:spacing w:val="-1"/>
        </w:rPr>
        <w:t>3</w:t>
      </w:r>
      <w:r>
        <w:rPr>
          <w:spacing w:val="-41"/>
        </w:rPr>
        <w:t>）</w:t>
      </w:r>
      <w:r>
        <w:t>光盘刻录时</w:t>
      </w:r>
      <w:r>
        <w:rPr>
          <w:spacing w:val="-41"/>
        </w:rPr>
        <w:t>，</w:t>
      </w:r>
      <w:r>
        <w:t>请</w:t>
      </w:r>
      <w:r>
        <w:rPr>
          <w:spacing w:val="2"/>
        </w:rPr>
        <w:t>使</w:t>
      </w:r>
      <w:r>
        <w:t>用正规刻录软件进行刻录</w:t>
      </w:r>
      <w:r>
        <w:rPr>
          <w:spacing w:val="-59"/>
        </w:rPr>
        <w:t xml:space="preserve"> </w:t>
      </w:r>
      <w:r>
        <w:t>CD</w:t>
      </w:r>
      <w:r>
        <w:rPr>
          <w:spacing w:val="-60"/>
        </w:rPr>
        <w:t xml:space="preserve"> </w:t>
      </w:r>
      <w:r>
        <w:t>光盘</w:t>
      </w:r>
      <w:r>
        <w:rPr>
          <w:spacing w:val="-41"/>
        </w:rPr>
        <w:t>，</w:t>
      </w:r>
      <w:r>
        <w:t>不要对</w:t>
      </w:r>
      <w:r>
        <w:rPr>
          <w:spacing w:val="2"/>
        </w:rPr>
        <w:t>电</w:t>
      </w:r>
      <w:r>
        <w:t>子投标文件进行压缩</w:t>
      </w:r>
      <w:r>
        <w:rPr>
          <w:spacing w:val="-41"/>
        </w:rPr>
        <w:t>，</w:t>
      </w:r>
      <w:r>
        <w:t>光盘刻录完成</w:t>
      </w:r>
      <w:r>
        <w:rPr>
          <w:spacing w:val="2"/>
        </w:rPr>
        <w:t>后</w:t>
      </w:r>
      <w:r>
        <w:rPr>
          <w:spacing w:val="-41"/>
        </w:rPr>
        <w:t>，</w:t>
      </w:r>
      <w:r>
        <w:t>应检验光盘刻录的</w:t>
      </w:r>
      <w:r>
        <w:rPr>
          <w:spacing w:val="2"/>
        </w:rPr>
        <w:t>质</w:t>
      </w:r>
      <w:r>
        <w:t>量</w:t>
      </w:r>
      <w:r>
        <w:rPr>
          <w:spacing w:val="-41"/>
        </w:rPr>
        <w:t>，</w:t>
      </w:r>
      <w:r>
        <w:t>检验光盘时不要</w:t>
      </w:r>
      <w:r>
        <w:rPr>
          <w:spacing w:val="2"/>
        </w:rPr>
        <w:t>在</w:t>
      </w:r>
      <w:r>
        <w:t>本机的刻录光驱</w:t>
      </w:r>
      <w:r>
        <w:rPr>
          <w:spacing w:val="-3"/>
        </w:rPr>
        <w:t>上</w:t>
      </w:r>
      <w:r>
        <w:t>进</w:t>
      </w:r>
      <w:r>
        <w:rPr>
          <w:spacing w:val="-4"/>
        </w:rPr>
        <w:t>行，将刻录好的光盘用另外一台电脑的“只读光驱”进行读取测试。测试的方法：将刻录</w:t>
      </w:r>
      <w:r>
        <w:t>光盘上的投标文件数据拷贝到电脑硬盘上</w:t>
      </w:r>
      <w:r>
        <w:rPr>
          <w:spacing w:val="-41"/>
        </w:rPr>
        <w:t>，</w:t>
      </w:r>
      <w:r>
        <w:rPr>
          <w:spacing w:val="2"/>
        </w:rPr>
        <w:t>检</w:t>
      </w:r>
      <w:r>
        <w:t>查拷贝是否成功</w:t>
      </w:r>
      <w:r>
        <w:rPr>
          <w:spacing w:val="-41"/>
        </w:rPr>
        <w:t>，</w:t>
      </w:r>
      <w:r>
        <w:t>同</w:t>
      </w:r>
      <w:r>
        <w:rPr>
          <w:spacing w:val="2"/>
        </w:rPr>
        <w:t>时</w:t>
      </w:r>
      <w:r>
        <w:t>使</w:t>
      </w:r>
      <w:r>
        <w:rPr>
          <w:spacing w:val="-41"/>
        </w:rPr>
        <w:t>用</w:t>
      </w:r>
      <w:r>
        <w:t>《云南省政</w:t>
      </w:r>
      <w:r>
        <w:rPr>
          <w:spacing w:val="-3"/>
        </w:rPr>
        <w:t>府</w:t>
      </w:r>
      <w:r>
        <w:t>采购投标文件编制系统</w:t>
      </w:r>
      <w:r>
        <w:rPr>
          <w:spacing w:val="-39"/>
        </w:rPr>
        <w:t>》</w:t>
      </w:r>
      <w:r>
        <w:t>查看工具中</w:t>
      </w:r>
      <w:r>
        <w:rPr>
          <w:spacing w:val="-41"/>
        </w:rPr>
        <w:t>的</w:t>
      </w:r>
      <w:r>
        <w:t>【查看</w:t>
      </w:r>
      <w:r>
        <w:rPr>
          <w:spacing w:val="2"/>
        </w:rPr>
        <w:t>标</w:t>
      </w:r>
      <w:r>
        <w:t>书</w:t>
      </w:r>
      <w:r>
        <w:rPr>
          <w:spacing w:val="-41"/>
        </w:rPr>
        <w:t>】</w:t>
      </w:r>
      <w:r>
        <w:t>功能对刻录后光盘中</w:t>
      </w:r>
      <w:r>
        <w:rPr>
          <w:spacing w:val="1"/>
        </w:rPr>
        <w:t>的</w:t>
      </w:r>
      <w:r>
        <w:t>电子投标文</w:t>
      </w:r>
      <w:r>
        <w:rPr>
          <w:spacing w:val="-3"/>
        </w:rPr>
        <w:t>件</w:t>
      </w:r>
      <w:r>
        <w:t>进行查看。</w:t>
      </w:r>
    </w:p>
    <w:p>
      <w:pPr>
        <w:pStyle w:val="Heading4"/>
        <w:kinsoku w:val="0"/>
        <w:overflowPunct w:val="0"/>
        <w:spacing w:line="365" w:lineRule="exact"/>
        <w:rPr>
          <w:rFonts w:hint="default"/>
          <w:spacing w:val="-1"/>
        </w:rPr>
      </w:pPr>
      <w:r>
        <w:rPr>
          <w:rFonts w:ascii="Times New Roman" w:eastAsia="Times New Roman" w:hint="default"/>
          <w:spacing w:val="-1"/>
        </w:rPr>
        <w:t>33.</w:t>
      </w:r>
      <w:r>
        <w:rPr>
          <w:spacing w:val="-1"/>
        </w:rPr>
        <w:t>电子投标文件的密封和标记</w:t>
      </w:r>
    </w:p>
    <w:p>
      <w:pPr>
        <w:pStyle w:val="BodyText"/>
        <w:kinsoku w:val="0"/>
        <w:overflowPunct w:val="0"/>
        <w:spacing w:before="104" w:line="339" w:lineRule="auto"/>
        <w:ind w:right="233" w:firstLine="480"/>
        <w:jc w:val="both"/>
        <w:rPr>
          <w:spacing w:val="-1"/>
        </w:rPr>
      </w:pPr>
      <w:r>
        <w:rPr>
          <w:rFonts w:hint="eastAsia"/>
          <w:spacing w:val="-1"/>
          <w:lang w:val="en-US" w:eastAsia="zh-CN"/>
        </w:rPr>
        <w:t>1、</w:t>
      </w:r>
      <w:r>
        <w:rPr>
          <w:rFonts w:hint="eastAsia"/>
          <w:spacing w:val="-1"/>
        </w:rPr>
        <w:t>网上递交的投标文件需要对投标文件进行加密。</w:t>
      </w:r>
    </w:p>
    <w:p>
      <w:pPr>
        <w:pStyle w:val="BodyText"/>
        <w:kinsoku w:val="0"/>
        <w:overflowPunct w:val="0"/>
        <w:spacing w:before="104" w:line="339" w:lineRule="auto"/>
        <w:ind w:right="233" w:firstLine="480"/>
        <w:jc w:val="both"/>
        <w:rPr>
          <w:rFonts w:hint="default"/>
        </w:rPr>
      </w:pPr>
      <w:r>
        <w:rPr>
          <w:rFonts w:hint="eastAsia"/>
          <w:spacing w:val="-1"/>
          <w:lang w:val="en-US" w:eastAsia="zh-CN"/>
        </w:rPr>
        <w:t>2、</w:t>
      </w:r>
      <w:r>
        <w:rPr>
          <w:rFonts w:hint="eastAsia"/>
          <w:spacing w:val="-1"/>
        </w:rPr>
        <w:t>电子光盘密封：将刻录好的投标文件光盘密封在密封袋中，在封口处加盖投标人单位章（鲜章）。不要在光盘盘面上粘贴标签，应使用记号笔在盘面上标注单位名称。</w:t>
      </w:r>
    </w:p>
    <w:p>
      <w:pPr>
        <w:pStyle w:val="BodyText"/>
        <w:kinsoku w:val="0"/>
        <w:overflowPunct w:val="0"/>
        <w:spacing w:before="31" w:line="339" w:lineRule="auto"/>
        <w:ind w:left="628" w:right="378"/>
        <w:rPr>
          <w:rFonts w:hint="default"/>
          <w:spacing w:val="-1"/>
        </w:rPr>
      </w:pPr>
      <w:r>
        <w:rPr>
          <w:rFonts w:hint="eastAsia"/>
          <w:spacing w:val="-1"/>
          <w:lang w:val="en-US" w:eastAsia="zh-CN"/>
        </w:rPr>
        <w:t>2.1</w:t>
      </w:r>
      <w:r>
        <w:rPr>
          <w:spacing w:val="-1"/>
        </w:rPr>
        <w:t>未按本章要求密封和加写标记的投标文件，视为未按要求提交。</w:t>
      </w:r>
    </w:p>
    <w:p>
      <w:pPr>
        <w:pStyle w:val="PlainText"/>
        <w:numPr>
          <w:ilvl w:val="0"/>
          <w:numId w:val="0"/>
        </w:numPr>
        <w:ind w:firstLine="720" w:firstLineChars="300"/>
        <w:rPr>
          <w:rFonts w:hint="default"/>
          <w:spacing w:val="-1"/>
        </w:rPr>
      </w:pPr>
      <w:r>
        <w:rPr>
          <w:rFonts w:hint="eastAsia"/>
          <w:spacing w:val="-1"/>
          <w:lang w:val="en-US" w:eastAsia="zh-CN"/>
        </w:rPr>
        <w:t>3、</w:t>
      </w:r>
      <w:r>
        <w:rPr>
          <w:rFonts w:hint="eastAsia"/>
          <w:spacing w:val="-1"/>
        </w:rPr>
        <w:t>电子投标文件采用单位和法定代表人数字证书电子签章及电子签名。按照投标文件格式在需要电子签章和签名的地方进行电子签章和签名，无需逐页电子签章或签名</w:t>
      </w:r>
      <w:r>
        <w:rPr>
          <w:rFonts w:hint="eastAsia"/>
          <w:spacing w:val="-1"/>
          <w:lang w:eastAsia="zh-CN"/>
        </w:rPr>
        <w:t>，</w:t>
      </w:r>
      <w:r>
        <w:rPr>
          <w:spacing w:val="-1"/>
        </w:rPr>
        <w:t>未按要求签字盖章的按无效标书处理。</w:t>
      </w:r>
    </w:p>
    <w:p>
      <w:pPr>
        <w:pStyle w:val="BodyText"/>
        <w:kinsoku w:val="0"/>
        <w:overflowPunct w:val="0"/>
        <w:spacing w:before="31" w:line="339" w:lineRule="auto"/>
        <w:ind w:left="628" w:right="378"/>
        <w:rPr>
          <w:rFonts w:hint="default"/>
        </w:rPr>
      </w:pPr>
      <w:r>
        <w:rPr>
          <w:spacing w:val="70"/>
        </w:rPr>
        <w:t xml:space="preserve"> </w:t>
      </w:r>
      <w:r>
        <w:t>33.1</w:t>
      </w:r>
      <w:r>
        <w:rPr>
          <w:spacing w:val="-61"/>
        </w:rPr>
        <w:t xml:space="preserve"> </w:t>
      </w:r>
      <w:r>
        <w:t>电子投标文件的修改与撤回：</w:t>
      </w:r>
    </w:p>
    <w:p>
      <w:pPr>
        <w:pStyle w:val="BodyText"/>
        <w:kinsoku w:val="0"/>
        <w:overflowPunct w:val="0"/>
        <w:spacing w:line="341" w:lineRule="auto"/>
        <w:ind w:right="237" w:firstLine="480"/>
        <w:jc w:val="both"/>
        <w:rPr>
          <w:rFonts w:hint="default"/>
        </w:rPr>
      </w:pPr>
      <w:r>
        <w:rPr>
          <w:spacing w:val="-1"/>
        </w:rPr>
        <w:t>（1）在规定的投标截止时间前，供应商可以修改或撤回已在网上递交的投标文件，</w:t>
      </w:r>
      <w:r>
        <w:t>无须书面形式通知采购人。</w:t>
      </w:r>
    </w:p>
    <w:p>
      <w:pPr>
        <w:pStyle w:val="BodyText"/>
        <w:kinsoku w:val="0"/>
        <w:overflowPunct w:val="0"/>
        <w:spacing w:before="27"/>
        <w:ind w:left="628"/>
        <w:rPr>
          <w:rFonts w:hint="default"/>
          <w:spacing w:val="-1"/>
        </w:rPr>
      </w:pPr>
      <w:r>
        <w:rPr>
          <w:spacing w:val="-1"/>
        </w:rPr>
        <w:t>（2）修改的投标文件应按照本章有关电子投标文件规定进行编制、密封、标记和递</w:t>
      </w:r>
    </w:p>
    <w:p>
      <w:pPr>
        <w:pStyle w:val="BodyText"/>
        <w:kinsoku w:val="0"/>
        <w:overflowPunct w:val="0"/>
        <w:spacing w:before="129"/>
        <w:rPr>
          <w:rFonts w:hint="default"/>
        </w:rPr>
      </w:pPr>
      <w:r>
        <w:t>交。</w:t>
      </w:r>
    </w:p>
    <w:p>
      <w:pPr>
        <w:pStyle w:val="BodyText"/>
        <w:kinsoku w:val="0"/>
        <w:overflowPunct w:val="0"/>
        <w:spacing w:before="131"/>
        <w:ind w:left="628"/>
        <w:rPr>
          <w:rFonts w:hint="default"/>
        </w:rPr>
      </w:pPr>
      <w:r>
        <w:t>33.2</w:t>
      </w:r>
      <w:r>
        <w:rPr>
          <w:spacing w:val="-61"/>
        </w:rPr>
        <w:t xml:space="preserve"> </w:t>
      </w:r>
      <w:r>
        <w:t>电子开标及投标文件解密：</w:t>
      </w:r>
    </w:p>
    <w:p>
      <w:pPr>
        <w:pStyle w:val="BodyText"/>
        <w:kinsoku w:val="0"/>
        <w:overflowPunct w:val="0"/>
        <w:spacing w:before="129"/>
        <w:ind w:left="628"/>
        <w:rPr>
          <w:rFonts w:hint="default"/>
        </w:rPr>
      </w:pPr>
      <w:r>
        <w:t>（</w:t>
      </w:r>
      <w:r>
        <w:rPr>
          <w:spacing w:val="-1"/>
        </w:rPr>
        <w:t>1</w:t>
      </w:r>
      <w:r>
        <w:rPr>
          <w:spacing w:val="-48"/>
        </w:rPr>
        <w:t>）</w:t>
      </w:r>
      <w:r>
        <w:t>供应商需在到开标现场递交</w:t>
      </w:r>
      <w:r>
        <w:rPr>
          <w:spacing w:val="-60"/>
        </w:rPr>
        <w:t xml:space="preserve"> </w:t>
      </w:r>
      <w:r>
        <w:t>1</w:t>
      </w:r>
      <w:r>
        <w:rPr>
          <w:spacing w:val="-60"/>
        </w:rPr>
        <w:t xml:space="preserve"> </w:t>
      </w:r>
      <w:r>
        <w:t>份电子投标文</w:t>
      </w:r>
      <w:r>
        <w:rPr>
          <w:spacing w:val="-48"/>
        </w:rPr>
        <w:t>件</w:t>
      </w:r>
      <w:r>
        <w:t>（光盘</w:t>
      </w:r>
      <w:r>
        <w:rPr>
          <w:spacing w:val="-48"/>
        </w:rPr>
        <w:t>），</w:t>
      </w:r>
      <w:r>
        <w:t>确保电子投标文</w:t>
      </w:r>
      <w:r>
        <w:rPr>
          <w:spacing w:val="-48"/>
        </w:rPr>
        <w:t>件</w:t>
      </w:r>
      <w:r>
        <w:t>（光盘）与网上上传的电子投标文件一致，若出现不一致，以网上上传的投标文件为准。</w:t>
      </w:r>
    </w:p>
    <w:p>
      <w:pPr>
        <w:pStyle w:val="BodyText"/>
        <w:kinsoku w:val="0"/>
        <w:overflowPunct w:val="0"/>
        <w:spacing w:before="131" w:line="339" w:lineRule="auto"/>
        <w:ind w:right="114" w:firstLine="480"/>
        <w:rPr>
          <w:rFonts w:hint="default"/>
        </w:rPr>
      </w:pPr>
      <w:r>
        <w:rPr>
          <w:spacing w:val="-1"/>
        </w:rPr>
        <w:t>（2）电子文件开标顺序：按照电子招标投标交易平台自动提取所有供应商的顺序当</w:t>
      </w:r>
      <w:r>
        <w:t>众开标。</w:t>
      </w:r>
    </w:p>
    <w:p>
      <w:pPr>
        <w:pStyle w:val="BodyText"/>
        <w:kinsoku w:val="0"/>
        <w:overflowPunct w:val="0"/>
        <w:spacing w:before="30" w:line="341" w:lineRule="auto"/>
        <w:ind w:right="114" w:firstLine="480"/>
        <w:rPr>
          <w:rFonts w:hint="default"/>
        </w:rPr>
      </w:pPr>
      <w:r>
        <w:rPr>
          <w:spacing w:val="-1"/>
        </w:rPr>
        <w:t>（3）采购人宣布开启电子投标文件后，供应商按照电子文件的开标顺序上前，使用</w:t>
      </w:r>
      <w:r>
        <w:t>供应商编制投标文件时的加密数字证书对投标文件进行解密。</w:t>
      </w:r>
    </w:p>
    <w:p>
      <w:pPr>
        <w:pStyle w:val="BodyText"/>
        <w:kinsoku w:val="0"/>
        <w:overflowPunct w:val="0"/>
        <w:spacing w:before="30" w:line="341" w:lineRule="auto"/>
        <w:ind w:right="114" w:firstLine="480"/>
        <w:rPr>
          <w:rFonts w:hint="default"/>
        </w:rPr>
      </w:pPr>
    </w:p>
    <w:p>
      <w:pPr>
        <w:pStyle w:val="BodyText"/>
        <w:kinsoku w:val="0"/>
        <w:overflowPunct w:val="0"/>
        <w:spacing w:before="30" w:line="341" w:lineRule="auto"/>
        <w:ind w:right="114" w:firstLine="480"/>
        <w:rPr>
          <w:rFonts w:hint="default"/>
        </w:rPr>
      </w:pPr>
    </w:p>
    <w:p>
      <w:pPr>
        <w:pStyle w:val="BodyText"/>
        <w:kinsoku w:val="0"/>
        <w:overflowPunct w:val="0"/>
        <w:spacing w:before="30" w:line="341" w:lineRule="auto"/>
        <w:ind w:right="114" w:firstLine="480"/>
        <w:rPr>
          <w:rFonts w:hint="default"/>
        </w:rPr>
      </w:pPr>
    </w:p>
    <w:p>
      <w:pPr>
        <w:pStyle w:val="BodyText"/>
        <w:kinsoku w:val="0"/>
        <w:overflowPunct w:val="0"/>
        <w:spacing w:before="30" w:line="341" w:lineRule="auto"/>
        <w:ind w:right="114" w:firstLine="480"/>
        <w:rPr>
          <w:rFonts w:hint="default"/>
        </w:rPr>
      </w:pPr>
    </w:p>
    <w:p>
      <w:pPr>
        <w:pStyle w:val="BodyText"/>
        <w:kinsoku w:val="0"/>
        <w:overflowPunct w:val="0"/>
        <w:spacing w:before="30" w:line="341" w:lineRule="auto"/>
        <w:ind w:right="114" w:firstLine="480"/>
        <w:rPr>
          <w:rFonts w:hint="default"/>
        </w:rPr>
      </w:pPr>
    </w:p>
    <w:p>
      <w:pPr>
        <w:pStyle w:val="BodyText"/>
        <w:kinsoku w:val="0"/>
        <w:overflowPunct w:val="0"/>
        <w:spacing w:before="30" w:line="341" w:lineRule="auto"/>
        <w:ind w:right="114" w:firstLine="480"/>
        <w:rPr>
          <w:rFonts w:hint="default"/>
        </w:rPr>
      </w:pPr>
    </w:p>
    <w:p>
      <w:pPr>
        <w:pStyle w:val="a"/>
        <w:ind w:left="0" w:firstLine="0" w:leftChars="0" w:firstLineChars="0"/>
        <w:rPr>
          <w:rFonts w:hint="default"/>
        </w:rPr>
      </w:pPr>
    </w:p>
    <w:p>
      <w:pPr>
        <w:rPr>
          <w:rFonts w:hint="default"/>
        </w:rPr>
      </w:pPr>
    </w:p>
    <w:p>
      <w:pPr>
        <w:pStyle w:val="BodyText"/>
        <w:rPr>
          <w:rFonts w:hint="default"/>
        </w:rPr>
      </w:pPr>
    </w:p>
    <w:p>
      <w:pPr>
        <w:pStyle w:val="a"/>
        <w:rPr>
          <w:rFonts w:hint="default"/>
        </w:rPr>
      </w:pPr>
    </w:p>
    <w:p>
      <w:pPr>
        <w:rPr>
          <w:rFonts w:hint="default"/>
        </w:rPr>
      </w:pPr>
    </w:p>
    <w:p>
      <w:pPr>
        <w:pStyle w:val="BodyText"/>
        <w:rPr>
          <w:rFonts w:hint="default"/>
        </w:rPr>
      </w:pPr>
    </w:p>
    <w:p>
      <w:pPr>
        <w:pStyle w:val="a"/>
        <w:rPr>
          <w:rFonts w:hint="default"/>
        </w:rPr>
      </w:pPr>
    </w:p>
    <w:p>
      <w:pPr>
        <w:rPr>
          <w:rFonts w:hint="default"/>
        </w:rPr>
      </w:pPr>
    </w:p>
    <w:p>
      <w:pPr>
        <w:pStyle w:val="BodyText"/>
        <w:rPr>
          <w:rFonts w:hint="default"/>
        </w:rPr>
      </w:pPr>
    </w:p>
    <w:p>
      <w:pPr>
        <w:pStyle w:val="a"/>
        <w:rPr>
          <w:rFonts w:hint="default"/>
        </w:rPr>
      </w:pPr>
    </w:p>
    <w:p>
      <w:pPr>
        <w:pStyle w:val="BodyText"/>
        <w:kinsoku w:val="0"/>
        <w:overflowPunct w:val="0"/>
        <w:spacing w:before="30" w:line="341" w:lineRule="auto"/>
        <w:ind w:right="114" w:firstLine="480"/>
        <w:rPr>
          <w:rFonts w:hint="default"/>
        </w:rPr>
      </w:pPr>
    </w:p>
    <w:p>
      <w:pPr>
        <w:pStyle w:val="BodyText"/>
        <w:kinsoku w:val="0"/>
        <w:overflowPunct w:val="0"/>
        <w:spacing w:before="30" w:line="341" w:lineRule="auto"/>
        <w:ind w:right="114" w:firstLine="480"/>
        <w:rPr>
          <w:rFonts w:hint="default"/>
          <w:b/>
          <w:bCs/>
          <w:sz w:val="28"/>
          <w:szCs w:val="21"/>
        </w:rPr>
      </w:pPr>
      <w:r>
        <w:rPr>
          <w:b/>
          <w:bCs/>
          <w:sz w:val="28"/>
          <w:szCs w:val="21"/>
        </w:rPr>
        <w:t>本合同仅供参考</w:t>
      </w:r>
    </w:p>
    <w:tbl>
      <w:tblPr>
        <w:tblStyle w:val="TableNormal"/>
        <w:tblW w:w="0" w:type="auto"/>
        <w:jc w:val="center"/>
        <w:tblLayout w:type="fixed"/>
        <w:tblCellMar>
          <w:top w:w="0" w:type="dxa"/>
          <w:left w:w="0" w:type="dxa"/>
          <w:bottom w:w="0" w:type="dxa"/>
          <w:right w:w="0" w:type="dxa"/>
        </w:tblCellMar>
      </w:tblPr>
      <w:tblGrid>
        <w:gridCol w:w="9750"/>
      </w:tblGrid>
      <w:tr>
        <w:tblPrEx>
          <w:tblW w:w="0" w:type="auto"/>
          <w:jc w:val="center"/>
          <w:tblLayout w:type="fixed"/>
          <w:tblCellMar>
            <w:top w:w="0" w:type="dxa"/>
            <w:left w:w="0" w:type="dxa"/>
            <w:bottom w:w="0" w:type="dxa"/>
            <w:right w:w="0" w:type="dxa"/>
          </w:tblCellMar>
        </w:tblPrEx>
        <w:trPr>
          <w:jc w:val="center"/>
        </w:trPr>
        <w:tc>
          <w:tcPr>
            <w:tcW w:w="9750" w:type="dxa"/>
            <w:vAlign w:val="center"/>
          </w:tcPr>
          <w:p>
            <w:pPr>
              <w:tabs>
                <w:tab w:val="left" w:pos="1590"/>
                <w:tab w:val="left" w:pos="3409"/>
                <w:tab w:val="left" w:pos="4847"/>
                <w:tab w:val="left" w:pos="5711"/>
                <w:tab w:val="left" w:pos="7020"/>
                <w:tab w:val="left" w:pos="7891"/>
              </w:tabs>
              <w:rPr>
                <w:rFonts w:ascii="宋体" w:hAnsi="宋体" w:cs="Tahoma" w:hint="default"/>
                <w:szCs w:val="18"/>
              </w:rPr>
            </w:pPr>
            <w:r>
              <w:rPr>
                <w:rFonts w:ascii="宋体" w:hAnsi="宋体" w:cs="Tahoma"/>
              </w:rPr>
              <w:t xml:space="preserve">合同编号：                       合同自编号： </w:t>
            </w:r>
            <w:r>
              <w:rPr>
                <w:rFonts w:ascii="宋体" w:hAnsi="宋体" w:cs="Tahoma"/>
              </w:rPr>
              <w:tab/>
            </w:r>
            <w:r>
              <w:rPr>
                <w:rFonts w:ascii="宋体" w:hAnsi="宋体" w:cs="Tahoma"/>
              </w:rPr>
              <w:tab/>
            </w:r>
            <w:r>
              <w:rPr>
                <w:rFonts w:ascii="宋体" w:hAnsi="宋体" w:cs="Tahoma"/>
              </w:rPr>
              <w:t xml:space="preserve">项目编号： </w:t>
            </w:r>
          </w:p>
        </w:tc>
      </w:tr>
    </w:tbl>
    <w:p>
      <w:pPr>
        <w:spacing w:after="240"/>
        <w:jc w:val="center"/>
        <w:rPr>
          <w:rFonts w:ascii="宋体" w:hAnsi="宋体" w:cs="Tahoma" w:hint="default"/>
          <w:sz w:val="18"/>
          <w:szCs w:val="18"/>
        </w:rPr>
      </w:pPr>
      <w:r>
        <w:rPr>
          <w:rFonts w:ascii="宋体" w:hAnsi="宋体" w:cs="Tahoma"/>
        </w:rPr>
        <w:t>●本合同须加盖甲乙双方骑缝章有效</w:t>
      </w:r>
      <w:r>
        <w:rPr>
          <w:rFonts w:ascii="宋体" w:hAnsi="宋体" w:cs="Tahoma"/>
          <w:sz w:val="18"/>
          <w:szCs w:val="18"/>
        </w:rPr>
        <w:br/>
      </w:r>
    </w:p>
    <w:p>
      <w:pPr>
        <w:spacing w:line="360" w:lineRule="auto"/>
        <w:ind w:firstLine="690" w:firstLineChars="177"/>
        <w:jc w:val="center"/>
        <w:rPr>
          <w:rFonts w:ascii="宋体" w:hAnsi="宋体" w:hint="default"/>
        </w:rPr>
      </w:pPr>
      <w:r>
        <w:rPr>
          <w:rFonts w:ascii="宋体" w:hAnsi="宋体" w:cs="Tahoma"/>
          <w:sz w:val="39"/>
          <w:szCs w:val="39"/>
        </w:rPr>
        <w:t>云南省省级政府采购</w:t>
      </w:r>
      <w:r>
        <w:rPr>
          <w:rFonts w:ascii="宋体" w:hAnsi="宋体" w:cs="Tahoma"/>
          <w:sz w:val="18"/>
          <w:szCs w:val="18"/>
        </w:rPr>
        <w:br/>
      </w:r>
      <w:r>
        <w:rPr>
          <w:rFonts w:ascii="宋体" w:hAnsi="宋体" w:cs="Tahoma"/>
          <w:sz w:val="18"/>
          <w:szCs w:val="18"/>
        </w:rPr>
        <w:br/>
      </w:r>
      <w:r>
        <w:rPr>
          <w:rFonts w:ascii="宋体" w:hAnsi="宋体" w:cs="Tahoma"/>
          <w:sz w:val="39"/>
          <w:szCs w:val="39"/>
        </w:rPr>
        <w:t>范本</w:t>
      </w:r>
    </w:p>
    <w:p>
      <w:pPr>
        <w:spacing w:after="240"/>
        <w:rPr>
          <w:rFonts w:ascii="宋体" w:hAnsi="宋体" w:cs="Tahoma" w:hint="default"/>
          <w:sz w:val="18"/>
          <w:szCs w:val="18"/>
        </w:rPr>
      </w:pPr>
    </w:p>
    <w:p>
      <w:pPr>
        <w:spacing w:after="240"/>
        <w:jc w:val="center"/>
        <w:rPr>
          <w:rFonts w:ascii="宋体" w:hAnsi="宋体" w:cs="Tahoma" w:hint="default"/>
          <w:sz w:val="18"/>
          <w:szCs w:val="18"/>
        </w:rPr>
      </w:pPr>
      <w:r>
        <w:rPr>
          <w:rFonts w:ascii="宋体" w:hAnsi="宋体" w:cs="Tahoma"/>
          <w:sz w:val="33"/>
          <w:szCs w:val="33"/>
        </w:rPr>
        <w:t>（委托采购）</w:t>
      </w:r>
      <w:r>
        <w:rPr>
          <w:rFonts w:ascii="宋体" w:hAnsi="宋体" w:cs="Tahoma"/>
          <w:sz w:val="18"/>
          <w:szCs w:val="18"/>
        </w:rPr>
        <w:br/>
      </w:r>
      <w:r>
        <w:rPr>
          <w:rFonts w:ascii="宋体" w:hAnsi="宋体" w:cs="Tahoma"/>
          <w:sz w:val="18"/>
          <w:szCs w:val="18"/>
        </w:rPr>
        <w:br/>
      </w:r>
      <w:r>
        <w:rPr>
          <w:rFonts w:ascii="宋体" w:hAnsi="宋体" w:cs="Tahoma"/>
          <w:sz w:val="18"/>
          <w:szCs w:val="18"/>
        </w:rPr>
        <w:br/>
      </w:r>
      <w:r>
        <w:rPr>
          <w:rFonts w:ascii="宋体" w:hAnsi="宋体" w:cs="Tahoma"/>
          <w:sz w:val="18"/>
          <w:szCs w:val="18"/>
        </w:rPr>
        <w:br/>
      </w:r>
      <w:r>
        <w:rPr>
          <w:rFonts w:ascii="宋体" w:hAnsi="宋体" w:cs="Tahoma"/>
          <w:sz w:val="18"/>
          <w:szCs w:val="18"/>
        </w:rPr>
        <w:br/>
      </w:r>
    </w:p>
    <w:p>
      <w:pPr>
        <w:spacing w:after="240"/>
        <w:jc w:val="center"/>
        <w:rPr>
          <w:rFonts w:ascii="宋体" w:hAnsi="宋体" w:cs="Tahoma" w:hint="default"/>
          <w:sz w:val="18"/>
          <w:szCs w:val="18"/>
        </w:rPr>
      </w:pPr>
      <w:r>
        <w:rPr>
          <w:rFonts w:ascii="宋体" w:hAnsi="宋体" w:cs="Tahoma"/>
          <w:sz w:val="63"/>
          <w:szCs w:val="63"/>
        </w:rPr>
        <w:t>合</w:t>
      </w:r>
    </w:p>
    <w:p>
      <w:pPr>
        <w:spacing w:after="240"/>
        <w:jc w:val="center"/>
        <w:rPr>
          <w:rFonts w:ascii="宋体" w:hAnsi="宋体" w:cs="Tahoma" w:hint="default"/>
          <w:sz w:val="18"/>
          <w:szCs w:val="18"/>
        </w:rPr>
      </w:pPr>
      <w:r>
        <w:rPr>
          <w:rFonts w:ascii="宋体" w:hAnsi="宋体" w:cs="Tahoma"/>
          <w:sz w:val="63"/>
          <w:szCs w:val="63"/>
        </w:rPr>
        <w:t>同</w:t>
      </w:r>
    </w:p>
    <w:p>
      <w:pPr>
        <w:spacing w:after="240"/>
        <w:jc w:val="center"/>
        <w:rPr>
          <w:rFonts w:ascii="宋体" w:hAnsi="宋体" w:cs="Tahoma" w:hint="default"/>
          <w:sz w:val="18"/>
          <w:szCs w:val="18"/>
        </w:rPr>
      </w:pPr>
      <w:r>
        <w:rPr>
          <w:rFonts w:ascii="宋体" w:hAnsi="宋体" w:cs="Tahoma"/>
          <w:sz w:val="63"/>
          <w:szCs w:val="63"/>
        </w:rPr>
        <w:t>书</w:t>
      </w:r>
      <w:r>
        <w:rPr>
          <w:rFonts w:ascii="宋体" w:hAnsi="宋体" w:cs="Tahoma"/>
          <w:sz w:val="18"/>
          <w:szCs w:val="18"/>
        </w:rPr>
        <w:br/>
      </w:r>
    </w:p>
    <w:p>
      <w:pPr>
        <w:spacing w:after="240"/>
        <w:ind w:firstLine="2970" w:firstLineChars="1100"/>
        <w:rPr>
          <w:rFonts w:ascii="宋体" w:hAnsi="宋体" w:cs="Tahoma" w:hint="default"/>
          <w:sz w:val="18"/>
          <w:szCs w:val="18"/>
        </w:rPr>
      </w:pPr>
      <w:r>
        <w:rPr>
          <w:rFonts w:ascii="宋体" w:hAnsi="宋体" w:cs="Tahoma"/>
          <w:b/>
          <w:bCs/>
          <w:sz w:val="27"/>
          <w:szCs w:val="27"/>
        </w:rPr>
        <w:t>签订地点:</w:t>
      </w:r>
    </w:p>
    <w:p>
      <w:pPr>
        <w:spacing w:after="240"/>
        <w:jc w:val="center"/>
        <w:rPr>
          <w:rFonts w:ascii="宋体" w:hAnsi="宋体" w:cs="Tahoma" w:hint="default"/>
          <w:sz w:val="18"/>
          <w:szCs w:val="18"/>
        </w:rPr>
      </w:pPr>
      <w:r>
        <w:rPr>
          <w:rFonts w:ascii="宋体" w:hAnsi="宋体" w:cs="Tahoma"/>
          <w:b/>
          <w:bCs/>
          <w:sz w:val="27"/>
          <w:szCs w:val="27"/>
        </w:rPr>
        <w:t xml:space="preserve">签订日期:    年　 月　日 </w:t>
      </w:r>
      <w:r>
        <w:rPr>
          <w:rFonts w:ascii="宋体" w:hAnsi="宋体" w:cs="Tahoma"/>
          <w:sz w:val="18"/>
          <w:szCs w:val="18"/>
        </w:rPr>
        <w:br/>
      </w:r>
    </w:p>
    <w:p>
      <w:pPr>
        <w:pStyle w:val="NormalWeb"/>
        <w:jc w:val="center"/>
        <w:rPr>
          <w:rFonts w:ascii="宋体" w:eastAsia="宋体" w:hAnsi="宋体" w:cs="Tahoma" w:hint="default"/>
          <w:b/>
          <w:bCs/>
          <w:sz w:val="27"/>
          <w:szCs w:val="27"/>
        </w:rPr>
      </w:pPr>
      <w:r>
        <w:rPr>
          <w:rFonts w:ascii="宋体" w:eastAsia="宋体" w:hAnsi="宋体" w:cs="Tahoma"/>
          <w:b/>
          <w:bCs/>
          <w:sz w:val="27"/>
          <w:szCs w:val="27"/>
        </w:rPr>
        <w:t xml:space="preserve">云南省财政厅　制 </w:t>
      </w:r>
    </w:p>
    <w:p>
      <w:pPr>
        <w:spacing w:after="240"/>
        <w:rPr>
          <w:rFonts w:ascii="宋体" w:hAnsi="宋体" w:cs="Tahoma" w:hint="default"/>
          <w:sz w:val="18"/>
          <w:szCs w:val="18"/>
        </w:rPr>
      </w:pPr>
    </w:p>
    <w:p>
      <w:pPr>
        <w:pStyle w:val="BodyText"/>
        <w:rPr>
          <w:rFonts w:cs="Tahoma" w:hint="default"/>
          <w:sz w:val="18"/>
          <w:szCs w:val="18"/>
        </w:rPr>
      </w:pPr>
    </w:p>
    <w:p>
      <w:pPr>
        <w:spacing w:after="240"/>
        <w:rPr>
          <w:rFonts w:ascii="宋体" w:hAnsi="宋体" w:cs="Tahoma" w:hint="default"/>
        </w:rPr>
      </w:pPr>
    </w:p>
    <w:p>
      <w:pPr>
        <w:spacing w:line="400" w:lineRule="exact"/>
        <w:ind w:left="1850" w:leftChars="771"/>
        <w:rPr>
          <w:rFonts w:ascii="宋体" w:hAnsi="宋体" w:cs="Tahoma" w:hint="default"/>
        </w:rPr>
      </w:pPr>
      <w:r>
        <w:rPr>
          <w:rFonts w:ascii="宋体" w:hAnsi="宋体" w:cs="Tahoma"/>
        </w:rPr>
        <w:t xml:space="preserve">甲方（采购人单位章）名    称： </w:t>
      </w:r>
    </w:p>
    <w:p>
      <w:pPr>
        <w:spacing w:line="400" w:lineRule="exact"/>
        <w:ind w:left="1850" w:leftChars="771"/>
        <w:rPr>
          <w:rFonts w:ascii="宋体" w:hAnsi="宋体" w:cs="Tahoma" w:hint="default"/>
        </w:rPr>
      </w:pPr>
      <w:r>
        <w:rPr>
          <w:rFonts w:ascii="宋体" w:hAnsi="宋体" w:cs="Tahoma"/>
        </w:rPr>
        <w:t xml:space="preserve">地    址： </w:t>
      </w:r>
    </w:p>
    <w:p>
      <w:pPr>
        <w:spacing w:line="400" w:lineRule="exact"/>
        <w:ind w:left="1850" w:leftChars="771"/>
        <w:rPr>
          <w:rFonts w:ascii="宋体" w:hAnsi="宋体" w:cs="Tahoma" w:hint="default"/>
        </w:rPr>
      </w:pPr>
      <w:r>
        <w:rPr>
          <w:rFonts w:ascii="宋体" w:hAnsi="宋体" w:cs="Tahoma"/>
        </w:rPr>
        <w:t>邮    编：</w:t>
      </w:r>
    </w:p>
    <w:p>
      <w:pPr>
        <w:spacing w:line="400" w:lineRule="exact"/>
        <w:ind w:left="1850" w:leftChars="771"/>
        <w:rPr>
          <w:rFonts w:ascii="宋体" w:hAnsi="宋体" w:cs="Tahoma" w:hint="default"/>
        </w:rPr>
      </w:pPr>
      <w:r>
        <w:rPr>
          <w:rFonts w:ascii="宋体" w:hAnsi="宋体" w:cs="Tahoma"/>
        </w:rPr>
        <w:t>法定代表人或委托代理人：</w:t>
      </w:r>
    </w:p>
    <w:p>
      <w:pPr>
        <w:spacing w:line="400" w:lineRule="exact"/>
        <w:ind w:left="1850" w:leftChars="771"/>
        <w:rPr>
          <w:rFonts w:ascii="宋体" w:hAnsi="宋体" w:cs="Tahoma" w:hint="default"/>
        </w:rPr>
      </w:pPr>
      <w:r>
        <w:rPr>
          <w:rFonts w:ascii="宋体" w:hAnsi="宋体" w:cs="Tahoma"/>
        </w:rPr>
        <w:t>项目（技术）负责人：</w:t>
      </w:r>
    </w:p>
    <w:p>
      <w:pPr>
        <w:spacing w:line="400" w:lineRule="exact"/>
        <w:ind w:left="1850" w:leftChars="771"/>
        <w:rPr>
          <w:rFonts w:ascii="宋体" w:hAnsi="宋体" w:cs="Tahoma" w:hint="default"/>
        </w:rPr>
      </w:pPr>
      <w:r>
        <w:rPr>
          <w:rFonts w:ascii="宋体" w:hAnsi="宋体" w:cs="Tahoma"/>
        </w:rPr>
        <w:t>电    话：</w:t>
      </w:r>
    </w:p>
    <w:p>
      <w:pPr>
        <w:spacing w:line="400" w:lineRule="exact"/>
        <w:ind w:left="1850" w:leftChars="771"/>
        <w:rPr>
          <w:rFonts w:ascii="宋体" w:hAnsi="宋体" w:cs="Tahoma" w:hint="default"/>
        </w:rPr>
      </w:pPr>
      <w:r>
        <w:rPr>
          <w:rFonts w:ascii="宋体" w:hAnsi="宋体" w:cs="Tahoma"/>
        </w:rPr>
        <w:t xml:space="preserve">开 户 银行： </w:t>
      </w:r>
    </w:p>
    <w:p>
      <w:pPr>
        <w:spacing w:line="400" w:lineRule="exact"/>
        <w:ind w:left="1850" w:leftChars="771"/>
        <w:rPr>
          <w:rFonts w:ascii="宋体" w:hAnsi="宋体" w:cs="Tahoma" w:hint="default"/>
        </w:rPr>
      </w:pPr>
      <w:r>
        <w:rPr>
          <w:rFonts w:ascii="宋体" w:hAnsi="宋体" w:cs="Tahoma"/>
        </w:rPr>
        <w:t>账    号：</w:t>
      </w:r>
    </w:p>
    <w:p>
      <w:pPr>
        <w:spacing w:line="400" w:lineRule="exact"/>
        <w:ind w:left="1850" w:leftChars="771"/>
        <w:rPr>
          <w:rFonts w:ascii="宋体" w:hAnsi="宋体" w:cs="Tahoma" w:hint="default"/>
        </w:rPr>
      </w:pPr>
    </w:p>
    <w:p>
      <w:pPr>
        <w:spacing w:line="400" w:lineRule="exact"/>
        <w:ind w:left="1850" w:leftChars="771"/>
        <w:rPr>
          <w:rFonts w:ascii="宋体" w:hAnsi="宋体" w:cs="Tahoma" w:hint="default"/>
        </w:rPr>
      </w:pPr>
      <w:r>
        <w:rPr>
          <w:rFonts w:ascii="宋体" w:hAnsi="宋体" w:cs="Tahoma"/>
        </w:rPr>
        <w:br/>
      </w:r>
      <w:r>
        <w:rPr>
          <w:rFonts w:ascii="宋体" w:hAnsi="宋体" w:cs="Tahoma"/>
        </w:rPr>
        <w:t xml:space="preserve">乙方（供应商单位章）名    称： </w:t>
      </w:r>
    </w:p>
    <w:p>
      <w:pPr>
        <w:spacing w:line="400" w:lineRule="exact"/>
        <w:ind w:left="1850" w:leftChars="771"/>
        <w:rPr>
          <w:rFonts w:ascii="宋体" w:hAnsi="宋体" w:cs="Tahoma" w:hint="default"/>
        </w:rPr>
      </w:pPr>
      <w:r>
        <w:rPr>
          <w:rFonts w:ascii="宋体" w:hAnsi="宋体" w:cs="Tahoma"/>
        </w:rPr>
        <w:t>地    址：</w:t>
      </w:r>
    </w:p>
    <w:p>
      <w:pPr>
        <w:spacing w:line="400" w:lineRule="exact"/>
        <w:ind w:left="1850" w:leftChars="771"/>
        <w:rPr>
          <w:rFonts w:ascii="宋体" w:hAnsi="宋体" w:cs="Tahoma" w:hint="default"/>
        </w:rPr>
      </w:pPr>
      <w:r>
        <w:rPr>
          <w:rFonts w:ascii="宋体" w:hAnsi="宋体" w:cs="Tahoma"/>
        </w:rPr>
        <w:t>邮    编：</w:t>
      </w:r>
    </w:p>
    <w:p>
      <w:pPr>
        <w:spacing w:line="400" w:lineRule="exact"/>
        <w:ind w:left="1850" w:leftChars="771"/>
        <w:rPr>
          <w:rFonts w:ascii="宋体" w:hAnsi="宋体" w:cs="Tahoma" w:hint="default"/>
        </w:rPr>
      </w:pPr>
      <w:r>
        <w:rPr>
          <w:rFonts w:ascii="宋体" w:hAnsi="宋体" w:cs="Tahoma"/>
        </w:rPr>
        <w:t>法定代表人：</w:t>
      </w:r>
    </w:p>
    <w:p>
      <w:pPr>
        <w:spacing w:line="400" w:lineRule="exact"/>
        <w:ind w:left="1850" w:leftChars="771"/>
        <w:rPr>
          <w:rFonts w:ascii="宋体" w:hAnsi="宋体" w:cs="Tahoma" w:hint="default"/>
        </w:rPr>
      </w:pPr>
      <w:r>
        <w:rPr>
          <w:rFonts w:ascii="宋体" w:hAnsi="宋体" w:cs="Tahoma"/>
        </w:rPr>
        <w:t>委托代理人：          </w:t>
      </w:r>
    </w:p>
    <w:p>
      <w:pPr>
        <w:spacing w:line="400" w:lineRule="exact"/>
        <w:ind w:left="1850" w:leftChars="771"/>
        <w:rPr>
          <w:rFonts w:ascii="宋体" w:hAnsi="宋体" w:cs="Tahoma" w:hint="default"/>
        </w:rPr>
      </w:pPr>
      <w:r>
        <w:rPr>
          <w:rFonts w:ascii="宋体" w:hAnsi="宋体" w:cs="Tahoma"/>
        </w:rPr>
        <w:t>电      话：</w:t>
      </w:r>
    </w:p>
    <w:p>
      <w:pPr>
        <w:spacing w:line="400" w:lineRule="exact"/>
        <w:ind w:left="1850" w:leftChars="771"/>
        <w:rPr>
          <w:rFonts w:ascii="宋体" w:hAnsi="宋体" w:cs="Tahoma" w:hint="default"/>
        </w:rPr>
      </w:pPr>
      <w:r>
        <w:rPr>
          <w:rFonts w:ascii="宋体" w:hAnsi="宋体" w:cs="Tahoma"/>
        </w:rPr>
        <w:t>开 户 银行：</w:t>
      </w:r>
    </w:p>
    <w:p>
      <w:pPr>
        <w:spacing w:line="400" w:lineRule="exact"/>
        <w:ind w:left="1850" w:leftChars="771"/>
        <w:rPr>
          <w:rFonts w:ascii="宋体" w:hAnsi="宋体" w:cs="Tahoma" w:hint="default"/>
        </w:rPr>
      </w:pPr>
      <w:r>
        <w:rPr>
          <w:rFonts w:ascii="宋体" w:hAnsi="宋体" w:cs="Tahoma"/>
        </w:rPr>
        <w:t>账    号：</w:t>
      </w:r>
      <w:r>
        <w:rPr>
          <w:rFonts w:ascii="宋体" w:hAnsi="宋体" w:cs="Tahoma"/>
        </w:rPr>
        <w:br/>
      </w:r>
    </w:p>
    <w:p>
      <w:pPr>
        <w:spacing w:line="400" w:lineRule="exact"/>
        <w:ind w:left="1850" w:leftChars="771"/>
        <w:rPr>
          <w:rFonts w:ascii="宋体" w:hAnsi="宋体" w:cs="Tahoma" w:hint="default"/>
        </w:rPr>
      </w:pPr>
    </w:p>
    <w:p>
      <w:pPr>
        <w:spacing w:line="400" w:lineRule="exact"/>
        <w:ind w:left="1850" w:leftChars="771"/>
        <w:rPr>
          <w:rFonts w:ascii="宋体" w:hAnsi="宋体" w:cs="Tahoma" w:hint="default"/>
        </w:rPr>
      </w:pPr>
    </w:p>
    <w:p>
      <w:pPr>
        <w:spacing w:line="400" w:lineRule="exact"/>
        <w:ind w:left="1850" w:leftChars="771"/>
        <w:rPr>
          <w:rFonts w:ascii="宋体" w:hAnsi="宋体" w:cs="Tahoma" w:hint="default"/>
        </w:rPr>
      </w:pPr>
    </w:p>
    <w:p>
      <w:pPr>
        <w:spacing w:line="400" w:lineRule="exact"/>
        <w:ind w:left="1850" w:leftChars="771"/>
        <w:rPr>
          <w:rFonts w:ascii="宋体" w:hAnsi="宋体" w:cs="Tahoma" w:hint="default"/>
        </w:rPr>
      </w:pPr>
    </w:p>
    <w:p>
      <w:pPr>
        <w:spacing w:line="400" w:lineRule="exact"/>
        <w:rPr>
          <w:rFonts w:ascii="宋体" w:hAnsi="宋体" w:cs="Tahoma" w:hint="default"/>
        </w:rPr>
      </w:pPr>
    </w:p>
    <w:p>
      <w:pPr>
        <w:spacing w:line="400" w:lineRule="exact"/>
        <w:rPr>
          <w:rFonts w:ascii="宋体" w:hAnsi="宋体" w:hint="default"/>
          <w:szCs w:val="21"/>
        </w:rPr>
      </w:pPr>
      <w:r>
        <w:rPr>
          <w:rFonts w:ascii="宋体" w:hAnsi="宋体" w:cs="Tahoma"/>
        </w:rPr>
        <w:t xml:space="preserve">     </w:t>
      </w:r>
      <w:r>
        <w:rPr>
          <w:rFonts w:ascii="宋体" w:hAnsi="宋体"/>
          <w:b/>
          <w:szCs w:val="21"/>
        </w:rPr>
        <w:t>甲方：</w:t>
      </w:r>
      <w:r>
        <w:rPr>
          <w:rFonts w:ascii="宋体" w:hAnsi="宋体"/>
          <w:b/>
          <w:szCs w:val="21"/>
          <w:u w:val="single"/>
        </w:rPr>
        <w:t>（采购人全称）</w:t>
      </w:r>
    </w:p>
    <w:p>
      <w:pPr>
        <w:spacing w:line="360" w:lineRule="auto"/>
        <w:ind w:firstLine="612" w:firstLineChars="255"/>
        <w:rPr>
          <w:rFonts w:ascii="宋体" w:hAnsi="宋体" w:hint="default"/>
          <w:b/>
          <w:szCs w:val="21"/>
          <w:u w:val="single"/>
        </w:rPr>
      </w:pPr>
      <w:r>
        <w:rPr>
          <w:rFonts w:ascii="宋体" w:hAnsi="宋体"/>
          <w:b/>
          <w:szCs w:val="21"/>
        </w:rPr>
        <w:t>乙方：</w:t>
      </w:r>
      <w:r>
        <w:rPr>
          <w:rFonts w:ascii="宋体" w:hAnsi="宋体"/>
          <w:b/>
          <w:szCs w:val="21"/>
          <w:u w:val="single"/>
        </w:rPr>
        <w:t>（供应商全称）</w:t>
      </w:r>
    </w:p>
    <w:p>
      <w:pPr>
        <w:spacing w:line="360" w:lineRule="auto"/>
        <w:ind w:firstLine="540" w:firstLineChars="225"/>
        <w:rPr>
          <w:rFonts w:ascii="宋体" w:hAnsi="宋体" w:hint="default"/>
          <w:szCs w:val="21"/>
        </w:rPr>
      </w:pPr>
      <w:r>
        <w:rPr>
          <w:rFonts w:ascii="宋体" w:hAnsi="宋体"/>
          <w:szCs w:val="21"/>
        </w:rPr>
        <w:t>甲乙双方根据招标编号为</w:t>
      </w:r>
      <w:r>
        <w:rPr>
          <w:rFonts w:ascii="宋体" w:hAnsi="宋体"/>
          <w:szCs w:val="21"/>
          <w:u w:val="single"/>
        </w:rPr>
        <w:t xml:space="preserve"> （招标编号）  </w:t>
      </w:r>
      <w:r>
        <w:rPr>
          <w:rFonts w:ascii="宋体" w:hAnsi="宋体"/>
          <w:szCs w:val="21"/>
        </w:rPr>
        <w:t>“</w:t>
      </w:r>
      <w:r>
        <w:rPr>
          <w:rFonts w:ascii="宋体" w:hAnsi="宋体"/>
          <w:szCs w:val="21"/>
          <w:u w:val="single"/>
        </w:rPr>
        <w:t>（采购项目名称）</w:t>
      </w:r>
      <w:r>
        <w:rPr>
          <w:rFonts w:ascii="宋体" w:hAnsi="宋体"/>
          <w:szCs w:val="21"/>
        </w:rPr>
        <w:t>”公开招标采购结果，经双方协定达成一致，签订以下内容：</w:t>
      </w:r>
    </w:p>
    <w:p>
      <w:pPr>
        <w:spacing w:line="360" w:lineRule="auto"/>
        <w:rPr>
          <w:rFonts w:ascii="宋体" w:hAnsi="宋体" w:hint="default"/>
          <w:szCs w:val="21"/>
        </w:rPr>
      </w:pPr>
      <w:r>
        <w:rPr>
          <w:rFonts w:ascii="宋体" w:hAnsi="宋体"/>
          <w:b/>
          <w:szCs w:val="21"/>
        </w:rPr>
        <w:t xml:space="preserve">一、衣物(产品)名称、品牌、型号规格、技术参数和数量、单价、总价：                   </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43"/>
        <w:gridCol w:w="1606"/>
        <w:gridCol w:w="1606"/>
        <w:gridCol w:w="1305"/>
        <w:gridCol w:w="873"/>
        <w:gridCol w:w="1833"/>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2143" w:type="dxa"/>
          </w:tcPr>
          <w:p>
            <w:pPr>
              <w:spacing w:line="360" w:lineRule="auto"/>
              <w:jc w:val="center"/>
              <w:rPr>
                <w:rFonts w:ascii="宋体" w:hAnsi="宋体" w:hint="default"/>
                <w:b/>
                <w:szCs w:val="21"/>
              </w:rPr>
            </w:pPr>
            <w:r>
              <w:rPr>
                <w:rFonts w:ascii="宋体" w:hAnsi="宋体"/>
                <w:b/>
                <w:szCs w:val="21"/>
              </w:rPr>
              <w:t>衣物名称</w:t>
            </w:r>
          </w:p>
        </w:tc>
        <w:tc>
          <w:tcPr>
            <w:tcW w:w="1606" w:type="dxa"/>
          </w:tcPr>
          <w:p>
            <w:pPr>
              <w:spacing w:line="360" w:lineRule="auto"/>
              <w:jc w:val="center"/>
              <w:rPr>
                <w:rFonts w:ascii="宋体" w:hAnsi="宋体" w:hint="default"/>
                <w:b/>
                <w:szCs w:val="21"/>
              </w:rPr>
            </w:pPr>
            <w:r>
              <w:rPr>
                <w:rFonts w:ascii="宋体" w:hAnsi="宋体"/>
                <w:b/>
                <w:szCs w:val="21"/>
              </w:rPr>
              <w:t>品牌</w:t>
            </w:r>
          </w:p>
        </w:tc>
        <w:tc>
          <w:tcPr>
            <w:tcW w:w="1606" w:type="dxa"/>
          </w:tcPr>
          <w:p>
            <w:pPr>
              <w:spacing w:line="360" w:lineRule="auto"/>
              <w:jc w:val="center"/>
              <w:rPr>
                <w:rFonts w:ascii="宋体" w:hAnsi="宋体" w:hint="default"/>
                <w:b/>
                <w:szCs w:val="21"/>
              </w:rPr>
            </w:pPr>
            <w:r>
              <w:rPr>
                <w:rFonts w:ascii="宋体" w:hAnsi="宋体"/>
                <w:b/>
                <w:szCs w:val="21"/>
              </w:rPr>
              <w:t>规格型号</w:t>
            </w:r>
          </w:p>
        </w:tc>
        <w:tc>
          <w:tcPr>
            <w:tcW w:w="1305" w:type="dxa"/>
          </w:tcPr>
          <w:p>
            <w:pPr>
              <w:spacing w:line="360" w:lineRule="auto"/>
              <w:jc w:val="center"/>
              <w:rPr>
                <w:rFonts w:ascii="宋体" w:hAnsi="宋体" w:hint="default"/>
                <w:b/>
                <w:szCs w:val="21"/>
              </w:rPr>
            </w:pPr>
            <w:r>
              <w:rPr>
                <w:rFonts w:ascii="宋体" w:hAnsi="宋体"/>
                <w:b/>
                <w:szCs w:val="21"/>
              </w:rPr>
              <w:t>数量</w:t>
            </w:r>
          </w:p>
        </w:tc>
        <w:tc>
          <w:tcPr>
            <w:tcW w:w="873" w:type="dxa"/>
          </w:tcPr>
          <w:p>
            <w:pPr>
              <w:spacing w:line="360" w:lineRule="auto"/>
              <w:jc w:val="center"/>
              <w:rPr>
                <w:rFonts w:ascii="宋体" w:hAnsi="宋体" w:hint="default"/>
                <w:b/>
                <w:szCs w:val="21"/>
              </w:rPr>
            </w:pPr>
            <w:r>
              <w:rPr>
                <w:rFonts w:ascii="宋体" w:hAnsi="宋体"/>
                <w:b/>
                <w:szCs w:val="21"/>
              </w:rPr>
              <w:t>单位</w:t>
            </w:r>
          </w:p>
        </w:tc>
        <w:tc>
          <w:tcPr>
            <w:tcW w:w="1833" w:type="dxa"/>
          </w:tcPr>
          <w:p>
            <w:pPr>
              <w:spacing w:line="360" w:lineRule="auto"/>
              <w:jc w:val="center"/>
              <w:rPr>
                <w:rFonts w:ascii="宋体" w:hAnsi="宋体" w:hint="default"/>
                <w:b/>
                <w:szCs w:val="21"/>
              </w:rPr>
            </w:pPr>
            <w:r>
              <w:rPr>
                <w:rFonts w:ascii="宋体" w:hAnsi="宋体"/>
                <w:b/>
                <w:szCs w:val="21"/>
              </w:rPr>
              <w:t>单价（元）</w:t>
            </w:r>
          </w:p>
        </w:tc>
      </w:tr>
      <w:tr>
        <w:tblPrEx>
          <w:tblW w:w="0" w:type="auto"/>
          <w:tblInd w:w="108" w:type="dxa"/>
          <w:tblLayout w:type="fixed"/>
          <w:tblCellMar>
            <w:top w:w="0" w:type="dxa"/>
            <w:left w:w="108" w:type="dxa"/>
            <w:bottom w:w="0" w:type="dxa"/>
            <w:right w:w="108" w:type="dxa"/>
          </w:tblCellMar>
        </w:tblPrEx>
        <w:tc>
          <w:tcPr>
            <w:tcW w:w="2143" w:type="dxa"/>
          </w:tcPr>
          <w:p>
            <w:pPr>
              <w:spacing w:line="360" w:lineRule="auto"/>
              <w:rPr>
                <w:rFonts w:ascii="宋体" w:hAnsi="宋体" w:hint="default"/>
                <w:szCs w:val="21"/>
              </w:rPr>
            </w:pPr>
          </w:p>
        </w:tc>
        <w:tc>
          <w:tcPr>
            <w:tcW w:w="1606" w:type="dxa"/>
          </w:tcPr>
          <w:p>
            <w:pPr>
              <w:jc w:val="center"/>
              <w:rPr>
                <w:rFonts w:ascii="宋体" w:hAnsi="宋体" w:hint="default"/>
                <w:szCs w:val="21"/>
              </w:rPr>
            </w:pPr>
          </w:p>
        </w:tc>
        <w:tc>
          <w:tcPr>
            <w:tcW w:w="1606" w:type="dxa"/>
          </w:tcPr>
          <w:p>
            <w:pPr>
              <w:spacing w:line="360" w:lineRule="auto"/>
              <w:rPr>
                <w:rFonts w:ascii="宋体" w:hAnsi="宋体" w:hint="default"/>
                <w:szCs w:val="21"/>
              </w:rPr>
            </w:pPr>
          </w:p>
        </w:tc>
        <w:tc>
          <w:tcPr>
            <w:tcW w:w="1305" w:type="dxa"/>
          </w:tcPr>
          <w:p>
            <w:pPr>
              <w:spacing w:line="360" w:lineRule="auto"/>
              <w:rPr>
                <w:rFonts w:ascii="宋体" w:hAnsi="宋体" w:hint="default"/>
                <w:szCs w:val="21"/>
              </w:rPr>
            </w:pPr>
          </w:p>
        </w:tc>
        <w:tc>
          <w:tcPr>
            <w:tcW w:w="873" w:type="dxa"/>
          </w:tcPr>
          <w:p>
            <w:pPr>
              <w:spacing w:line="360" w:lineRule="auto"/>
              <w:rPr>
                <w:rFonts w:ascii="宋体" w:hAnsi="宋体" w:hint="default"/>
                <w:b/>
                <w:szCs w:val="21"/>
              </w:rPr>
            </w:pPr>
          </w:p>
        </w:tc>
        <w:tc>
          <w:tcPr>
            <w:tcW w:w="1833" w:type="dxa"/>
          </w:tcPr>
          <w:p>
            <w:pPr>
              <w:spacing w:line="360" w:lineRule="auto"/>
              <w:rPr>
                <w:rFonts w:ascii="宋体" w:hAnsi="宋体" w:hint="default"/>
                <w:szCs w:val="21"/>
              </w:rPr>
            </w:pPr>
          </w:p>
        </w:tc>
      </w:tr>
    </w:tbl>
    <w:p>
      <w:pPr>
        <w:spacing w:line="360" w:lineRule="auto"/>
        <w:rPr>
          <w:rFonts w:ascii="宋体" w:hAnsi="宋体" w:hint="default"/>
          <w:szCs w:val="21"/>
        </w:rPr>
      </w:pPr>
      <w:r>
        <w:rPr>
          <w:rFonts w:ascii="宋体" w:hAnsi="宋体"/>
          <w:szCs w:val="21"/>
        </w:rPr>
        <w:t>详细的衣物明细附后。</w:t>
      </w:r>
    </w:p>
    <w:p>
      <w:pPr>
        <w:spacing w:line="360" w:lineRule="auto"/>
        <w:rPr>
          <w:rFonts w:ascii="宋体" w:hAnsi="宋体" w:hint="default"/>
          <w:szCs w:val="21"/>
        </w:rPr>
      </w:pPr>
      <w:r>
        <w:rPr>
          <w:rFonts w:ascii="宋体" w:hAnsi="宋体"/>
          <w:b/>
          <w:szCs w:val="21"/>
        </w:rPr>
        <w:t>二、随机资料和配套附属衣物要求</w:t>
      </w:r>
    </w:p>
    <w:p>
      <w:pPr>
        <w:spacing w:line="360" w:lineRule="auto"/>
        <w:rPr>
          <w:rFonts w:ascii="宋体" w:hAnsi="宋体" w:hint="default"/>
          <w:szCs w:val="21"/>
        </w:rPr>
      </w:pPr>
      <w:r>
        <w:rPr>
          <w:rFonts w:ascii="宋体" w:hAnsi="宋体"/>
          <w:b/>
          <w:szCs w:val="21"/>
        </w:rPr>
        <w:t>三、产品使用要求</w:t>
      </w:r>
    </w:p>
    <w:p>
      <w:pPr>
        <w:spacing w:line="360" w:lineRule="auto"/>
        <w:ind w:firstLine="480"/>
        <w:rPr>
          <w:rFonts w:ascii="宋体" w:hAnsi="宋体" w:hint="default"/>
          <w:szCs w:val="21"/>
        </w:rPr>
      </w:pPr>
      <w:r>
        <w:rPr>
          <w:rFonts w:ascii="宋体" w:hAnsi="宋体"/>
          <w:szCs w:val="21"/>
        </w:rPr>
        <w:t>产品使用符合标准，并满足甲方技术要求。</w:t>
      </w:r>
    </w:p>
    <w:p>
      <w:pPr>
        <w:spacing w:line="360" w:lineRule="auto"/>
        <w:rPr>
          <w:rFonts w:ascii="宋体" w:hAnsi="宋体" w:hint="default"/>
          <w:b/>
          <w:szCs w:val="21"/>
        </w:rPr>
      </w:pPr>
      <w:r>
        <w:rPr>
          <w:rFonts w:ascii="宋体" w:hAnsi="宋体"/>
          <w:b/>
          <w:szCs w:val="21"/>
        </w:rPr>
        <w:t>四、配套衣物要求及长期供应优惠条件</w:t>
      </w:r>
    </w:p>
    <w:p>
      <w:pPr>
        <w:spacing w:line="360" w:lineRule="auto"/>
        <w:rPr>
          <w:rFonts w:ascii="宋体" w:hAnsi="宋体" w:hint="default"/>
          <w:szCs w:val="21"/>
        </w:rPr>
      </w:pPr>
      <w:r>
        <w:rPr>
          <w:rFonts w:ascii="宋体" w:hAnsi="宋体"/>
          <w:b/>
          <w:szCs w:val="21"/>
        </w:rPr>
        <w:t>五、备品备件（含易损件）要求及长期供应优惠条件</w:t>
      </w:r>
    </w:p>
    <w:p>
      <w:pPr>
        <w:spacing w:line="360" w:lineRule="auto"/>
        <w:rPr>
          <w:rFonts w:ascii="宋体" w:hAnsi="宋体" w:hint="default"/>
          <w:szCs w:val="21"/>
        </w:rPr>
      </w:pPr>
      <w:r>
        <w:rPr>
          <w:rFonts w:ascii="宋体" w:hAnsi="宋体"/>
          <w:b/>
          <w:szCs w:val="21"/>
        </w:rPr>
        <w:t xml:space="preserve">六、合同总价（大写）：               （人民币  元），  </w:t>
      </w:r>
      <w:r>
        <w:rPr>
          <w:rFonts w:ascii="宋体" w:hAnsi="宋体"/>
          <w:szCs w:val="21"/>
        </w:rPr>
        <w:t xml:space="preserve">小写：         </w:t>
      </w:r>
      <w:r>
        <w:rPr>
          <w:rFonts w:ascii="宋体" w:hAnsi="宋体"/>
          <w:b/>
          <w:bCs/>
          <w:szCs w:val="21"/>
        </w:rPr>
        <w:t>元</w:t>
      </w:r>
    </w:p>
    <w:p>
      <w:pPr>
        <w:spacing w:line="360" w:lineRule="auto"/>
        <w:ind w:firstLine="480"/>
        <w:rPr>
          <w:rFonts w:ascii="宋体" w:hAnsi="宋体" w:hint="default"/>
          <w:szCs w:val="21"/>
        </w:rPr>
      </w:pPr>
      <w:r>
        <w:rPr>
          <w:rFonts w:ascii="宋体" w:hAnsi="宋体"/>
          <w:szCs w:val="21"/>
        </w:rPr>
        <w:t>以上价格为甲方指定地点统一交货价并包含运输费用。</w:t>
      </w:r>
    </w:p>
    <w:p>
      <w:pPr>
        <w:spacing w:line="360" w:lineRule="auto"/>
        <w:rPr>
          <w:rFonts w:ascii="宋体" w:hAnsi="宋体" w:hint="default"/>
          <w:szCs w:val="21"/>
        </w:rPr>
      </w:pPr>
      <w:r>
        <w:rPr>
          <w:rFonts w:ascii="宋体" w:hAnsi="宋体"/>
          <w:b/>
          <w:szCs w:val="21"/>
        </w:rPr>
        <w:t>七、甲乙双方的权利和义务</w:t>
      </w:r>
    </w:p>
    <w:p>
      <w:pPr>
        <w:spacing w:line="360" w:lineRule="auto"/>
        <w:rPr>
          <w:rFonts w:ascii="宋体" w:hAnsi="宋体" w:hint="default"/>
          <w:szCs w:val="21"/>
        </w:rPr>
      </w:pPr>
      <w:r>
        <w:rPr>
          <w:rFonts w:ascii="宋体" w:hAnsi="宋体"/>
          <w:szCs w:val="21"/>
        </w:rPr>
        <w:t>（一）甲方的权利和义务</w:t>
      </w:r>
    </w:p>
    <w:p>
      <w:pPr>
        <w:spacing w:line="360" w:lineRule="auto"/>
        <w:rPr>
          <w:rFonts w:ascii="宋体" w:hAnsi="宋体" w:hint="default"/>
          <w:szCs w:val="21"/>
        </w:rPr>
      </w:pPr>
      <w:r>
        <w:rPr>
          <w:rFonts w:ascii="宋体" w:hAnsi="宋体"/>
          <w:szCs w:val="21"/>
        </w:rPr>
        <w:t>1、负责合同签订</w:t>
      </w:r>
      <w:r>
        <w:rPr>
          <w:rStyle w:val="grame"/>
          <w:rFonts w:ascii="宋体" w:hAnsi="宋体"/>
          <w:szCs w:val="21"/>
        </w:rPr>
        <w:t>后项目</w:t>
      </w:r>
      <w:r>
        <w:rPr>
          <w:rFonts w:ascii="宋体" w:hAnsi="宋体"/>
          <w:szCs w:val="21"/>
        </w:rPr>
        <w:t>实施的工作（如与乙方的具体联系和衔结，现场配备人员进行监管控制）；</w:t>
      </w:r>
    </w:p>
    <w:p>
      <w:pPr>
        <w:spacing w:line="360" w:lineRule="auto"/>
        <w:rPr>
          <w:rFonts w:ascii="宋体" w:hAnsi="宋体" w:hint="default"/>
          <w:szCs w:val="21"/>
        </w:rPr>
      </w:pPr>
      <w:r>
        <w:rPr>
          <w:rFonts w:ascii="宋体" w:hAnsi="宋体"/>
          <w:szCs w:val="21"/>
        </w:rPr>
        <w:t>2、负责提供衣物和项目调换所必须的场地和环境；</w:t>
      </w:r>
    </w:p>
    <w:p>
      <w:pPr>
        <w:spacing w:line="360" w:lineRule="auto"/>
        <w:rPr>
          <w:rFonts w:ascii="宋体" w:hAnsi="宋体" w:hint="default"/>
          <w:szCs w:val="21"/>
        </w:rPr>
      </w:pPr>
      <w:r>
        <w:rPr>
          <w:rFonts w:ascii="宋体" w:hAnsi="宋体"/>
          <w:szCs w:val="21"/>
        </w:rPr>
        <w:t>3、负责组织成立验收小组对衣物和项目进行验收并签署验收报告；</w:t>
      </w:r>
    </w:p>
    <w:p>
      <w:pPr>
        <w:spacing w:line="360" w:lineRule="auto"/>
        <w:rPr>
          <w:rFonts w:ascii="宋体" w:hAnsi="宋体" w:hint="default"/>
          <w:szCs w:val="21"/>
        </w:rPr>
      </w:pPr>
      <w:r>
        <w:rPr>
          <w:rFonts w:ascii="宋体" w:hAnsi="宋体"/>
          <w:szCs w:val="21"/>
        </w:rPr>
        <w:t>4、按合同规定享有乙方提供的衣物服务。</w:t>
      </w:r>
    </w:p>
    <w:p>
      <w:pPr>
        <w:spacing w:line="360" w:lineRule="auto"/>
        <w:rPr>
          <w:rFonts w:ascii="宋体" w:hAnsi="宋体" w:hint="default"/>
          <w:szCs w:val="21"/>
        </w:rPr>
      </w:pPr>
      <w:r>
        <w:rPr>
          <w:rFonts w:ascii="宋体" w:hAnsi="宋体"/>
          <w:szCs w:val="21"/>
        </w:rPr>
        <w:t>（二）乙方的权利和义务</w:t>
      </w:r>
    </w:p>
    <w:p>
      <w:pPr>
        <w:spacing w:line="360" w:lineRule="auto"/>
        <w:rPr>
          <w:rFonts w:ascii="宋体" w:hAnsi="宋体" w:hint="default"/>
          <w:szCs w:val="21"/>
        </w:rPr>
      </w:pPr>
      <w:r>
        <w:rPr>
          <w:rFonts w:ascii="宋体" w:hAnsi="宋体"/>
          <w:szCs w:val="21"/>
        </w:rPr>
        <w:t>1、乙方保证按</w:t>
      </w:r>
      <w:r>
        <w:rPr>
          <w:rStyle w:val="grame"/>
          <w:rFonts w:ascii="宋体" w:hAnsi="宋体"/>
          <w:szCs w:val="21"/>
        </w:rPr>
        <w:t>本合同</w:t>
      </w:r>
      <w:r>
        <w:rPr>
          <w:rFonts w:ascii="宋体" w:hAnsi="宋体"/>
          <w:szCs w:val="21"/>
        </w:rPr>
        <w:t>一、二、三、四、五条款负责完成甲方项目，并保证提供的是全新、符合招标文件规定、具有国家有关部门注册并符合国家质量检测标准（进口产品具有国家有关部门完整手续）和产品出厂的标准；质保期为（   ） 年。 具体服务：保修期内，乙方对甲方提供全免费保修或免费更换；保修期后，收取成本费维修（自然灾害及人为故意损坏除外）；乙方提供现场维修，维修人员在收到故障报告后保证（    ）小时内到达现场， 类故障保证由人员在（  ）天内修复，类故障保证由人员在（   ）天内修复；乙方保证在甲方指定地点供应备品备件（含易损件）和配套消耗品；乙方对所提供的衣物实行      （     ）月时间定期进行保养（或维护、巡检）制度；</w:t>
      </w:r>
    </w:p>
    <w:p>
      <w:pPr>
        <w:spacing w:line="360" w:lineRule="auto"/>
        <w:rPr>
          <w:rFonts w:ascii="宋体" w:hAnsi="宋体" w:hint="default"/>
          <w:szCs w:val="21"/>
        </w:rPr>
      </w:pPr>
      <w:r>
        <w:rPr>
          <w:rFonts w:ascii="宋体" w:hAnsi="宋体"/>
          <w:szCs w:val="21"/>
        </w:rPr>
        <w:t>2、保证甲方在合同衣物使用期间不受第三方提出侵犯其专利权、商标权和工业设计权的起诉。</w:t>
      </w:r>
    </w:p>
    <w:p>
      <w:pPr>
        <w:spacing w:line="360" w:lineRule="auto"/>
        <w:rPr>
          <w:rFonts w:ascii="宋体" w:hAnsi="宋体" w:hint="default"/>
          <w:szCs w:val="21"/>
        </w:rPr>
      </w:pPr>
      <w:r>
        <w:rPr>
          <w:rFonts w:ascii="宋体" w:hAnsi="宋体"/>
          <w:szCs w:val="21"/>
        </w:rPr>
        <w:t>3、严格遵守商务谈判中标所承诺的一切规定和条款；</w:t>
      </w:r>
    </w:p>
    <w:p>
      <w:pPr>
        <w:spacing w:line="360" w:lineRule="auto"/>
        <w:rPr>
          <w:rFonts w:ascii="宋体" w:hAnsi="宋体" w:hint="default"/>
          <w:szCs w:val="21"/>
        </w:rPr>
      </w:pPr>
      <w:r>
        <w:rPr>
          <w:rFonts w:ascii="宋体" w:hAnsi="宋体"/>
          <w:szCs w:val="21"/>
        </w:rPr>
        <w:t xml:space="preserve">4、参与甲方共同进行衣物和项目的验收。                                       </w:t>
      </w:r>
    </w:p>
    <w:p>
      <w:pPr>
        <w:spacing w:line="360" w:lineRule="auto"/>
        <w:ind w:left="480" w:hanging="480" w:hangingChars="200"/>
        <w:rPr>
          <w:rFonts w:ascii="宋体" w:hAnsi="宋体" w:hint="default"/>
          <w:szCs w:val="21"/>
        </w:rPr>
      </w:pPr>
      <w:r>
        <w:rPr>
          <w:rFonts w:ascii="宋体" w:hAnsi="宋体"/>
          <w:b/>
          <w:szCs w:val="21"/>
        </w:rPr>
        <w:t>八、以上内容与甲方采购确认和乙方中标承诺情况一致（或中标产品和衣物的技术及服务保证甲方正常使用）。</w:t>
      </w:r>
    </w:p>
    <w:p>
      <w:pPr>
        <w:spacing w:line="360" w:lineRule="auto"/>
        <w:rPr>
          <w:rFonts w:ascii="宋体" w:hAnsi="宋体" w:hint="default"/>
          <w:szCs w:val="21"/>
        </w:rPr>
      </w:pPr>
      <w:r>
        <w:rPr>
          <w:rFonts w:ascii="宋体" w:hAnsi="宋体"/>
          <w:b/>
          <w:szCs w:val="21"/>
        </w:rPr>
        <w:t>九、甲方在衣物使用过程中发生技术质量问题，乙方应提供及时有效的技术支持。</w:t>
      </w:r>
    </w:p>
    <w:p>
      <w:pPr>
        <w:spacing w:line="360" w:lineRule="auto"/>
        <w:ind w:firstLine="480"/>
        <w:rPr>
          <w:rFonts w:ascii="宋体" w:hAnsi="宋体" w:hint="default"/>
          <w:szCs w:val="21"/>
        </w:rPr>
      </w:pPr>
      <w:r>
        <w:rPr>
          <w:rFonts w:ascii="宋体" w:hAnsi="宋体"/>
          <w:szCs w:val="21"/>
        </w:rPr>
        <w:t>乙方技术支持电话： ，联系人: 。</w:t>
      </w:r>
    </w:p>
    <w:p>
      <w:pPr>
        <w:spacing w:line="360" w:lineRule="auto"/>
        <w:rPr>
          <w:rFonts w:ascii="宋体" w:hAnsi="宋体" w:hint="default"/>
          <w:szCs w:val="21"/>
        </w:rPr>
      </w:pPr>
      <w:r>
        <w:rPr>
          <w:rFonts w:ascii="宋体" w:hAnsi="宋体"/>
          <w:b/>
          <w:szCs w:val="21"/>
        </w:rPr>
        <w:t>十、整体项目完成时间（即衣物送达甲方指定地点并按规范调换完毕时间）为合同签订生效后日内。</w:t>
      </w:r>
    </w:p>
    <w:p>
      <w:pPr>
        <w:spacing w:line="360" w:lineRule="auto"/>
        <w:ind w:firstLine="480" w:firstLineChars="200"/>
        <w:rPr>
          <w:rFonts w:ascii="宋体" w:hAnsi="宋体" w:hint="default"/>
          <w:szCs w:val="21"/>
        </w:rPr>
      </w:pPr>
      <w:r>
        <w:rPr>
          <w:rFonts w:ascii="宋体" w:hAnsi="宋体"/>
          <w:szCs w:val="21"/>
        </w:rPr>
        <w:t>衣物交验地点和方式：合同签订后，乙方负责将完整配套的原封衣物送到甲方指定的地点（             ），由甲乙双方共同开箱初验，并由乙方按合同规范要求完成安装测试。交货时，乙方随货向甲方交付衣物必需的合格证、保修卡，相关资料及配备等。</w:t>
      </w:r>
    </w:p>
    <w:p>
      <w:pPr>
        <w:spacing w:line="360" w:lineRule="auto"/>
        <w:rPr>
          <w:rFonts w:ascii="宋体" w:hAnsi="宋体" w:hint="default"/>
          <w:szCs w:val="21"/>
        </w:rPr>
      </w:pPr>
      <w:r>
        <w:rPr>
          <w:rFonts w:ascii="宋体" w:hAnsi="宋体"/>
          <w:b/>
          <w:szCs w:val="21"/>
        </w:rPr>
        <w:t>十二、验收及验收标准</w:t>
      </w:r>
    </w:p>
    <w:p>
      <w:pPr>
        <w:spacing w:line="360" w:lineRule="auto"/>
        <w:rPr>
          <w:rFonts w:ascii="宋体" w:hAnsi="宋体" w:hint="default"/>
          <w:szCs w:val="21"/>
        </w:rPr>
      </w:pPr>
      <w:r>
        <w:rPr>
          <w:rFonts w:ascii="宋体" w:hAnsi="宋体"/>
          <w:szCs w:val="21"/>
        </w:rPr>
        <w:t>1、衣物验收：衣物到达甲方指定地点后甲方统一初验是否符合合同要求；</w:t>
      </w:r>
    </w:p>
    <w:p>
      <w:pPr>
        <w:spacing w:line="360" w:lineRule="auto"/>
        <w:rPr>
          <w:rFonts w:ascii="宋体" w:hAnsi="宋体" w:hint="default"/>
          <w:szCs w:val="21"/>
        </w:rPr>
      </w:pPr>
      <w:r>
        <w:rPr>
          <w:rFonts w:ascii="宋体" w:hAnsi="宋体"/>
          <w:szCs w:val="21"/>
        </w:rPr>
        <w:t>2、项目验收：乙方负责衣物调换，完工后，甲方测试是否合格并满足技术要求；</w:t>
      </w:r>
    </w:p>
    <w:p>
      <w:pPr>
        <w:tabs>
          <w:tab w:val="left" w:pos="6930"/>
        </w:tabs>
        <w:spacing w:line="360" w:lineRule="auto"/>
        <w:rPr>
          <w:rFonts w:ascii="宋体" w:hAnsi="宋体" w:hint="default"/>
          <w:szCs w:val="21"/>
        </w:rPr>
      </w:pPr>
      <w:r>
        <w:rPr>
          <w:rFonts w:ascii="宋体" w:hAnsi="宋体"/>
          <w:b/>
          <w:szCs w:val="21"/>
        </w:rPr>
        <w:t>十三、合同价款结算</w:t>
      </w:r>
    </w:p>
    <w:p>
      <w:pPr>
        <w:tabs>
          <w:tab w:val="left" w:pos="6930"/>
        </w:tabs>
        <w:spacing w:line="360" w:lineRule="auto"/>
        <w:rPr>
          <w:rFonts w:ascii="宋体" w:hAnsi="宋体" w:hint="default"/>
          <w:szCs w:val="21"/>
        </w:rPr>
      </w:pPr>
      <w:r>
        <w:rPr>
          <w:rFonts w:ascii="宋体" w:hAnsi="宋体"/>
          <w:b/>
          <w:szCs w:val="21"/>
        </w:rPr>
        <w:t>（一）合同生效</w:t>
      </w:r>
    </w:p>
    <w:p>
      <w:pPr>
        <w:tabs>
          <w:tab w:val="left" w:pos="6930"/>
        </w:tabs>
        <w:spacing w:line="360" w:lineRule="auto"/>
        <w:ind w:firstLine="480" w:firstLineChars="200"/>
        <w:rPr>
          <w:rFonts w:ascii="宋体" w:hAnsi="宋体" w:hint="default"/>
          <w:szCs w:val="21"/>
        </w:rPr>
      </w:pPr>
      <w:r>
        <w:rPr>
          <w:rFonts w:ascii="宋体" w:hAnsi="宋体"/>
          <w:szCs w:val="21"/>
        </w:rPr>
        <w:t>乙方应根据招标文件要求向采购代理机构交纳招标代理服务费并取得采购人的签章后，合同才正式生效。</w:t>
      </w:r>
    </w:p>
    <w:p>
      <w:pPr>
        <w:tabs>
          <w:tab w:val="left" w:pos="6930"/>
        </w:tabs>
        <w:spacing w:line="360" w:lineRule="auto"/>
        <w:rPr>
          <w:rFonts w:ascii="宋体" w:hAnsi="宋体" w:hint="default"/>
          <w:szCs w:val="21"/>
        </w:rPr>
      </w:pPr>
      <w:r>
        <w:rPr>
          <w:rFonts w:ascii="宋体" w:hAnsi="宋体"/>
          <w:b/>
          <w:bCs/>
          <w:szCs w:val="21"/>
        </w:rPr>
        <w:t>（二）价款的结算</w:t>
      </w:r>
    </w:p>
    <w:p>
      <w:pPr>
        <w:spacing w:line="360" w:lineRule="auto"/>
        <w:ind w:firstLine="538" w:firstLineChars="224"/>
        <w:rPr>
          <w:rFonts w:ascii="宋体" w:hAnsi="宋体" w:hint="default"/>
          <w:szCs w:val="21"/>
        </w:rPr>
      </w:pPr>
      <w:r>
        <w:rPr>
          <w:rFonts w:ascii="宋体" w:hAnsi="宋体"/>
          <w:szCs w:val="21"/>
        </w:rPr>
        <w:t>（具体付款条件及付款方式以采购人和中标人在合同谈判中双方商定的内容为准。）</w:t>
      </w:r>
    </w:p>
    <w:p>
      <w:pPr>
        <w:spacing w:line="360" w:lineRule="auto"/>
        <w:rPr>
          <w:rFonts w:ascii="宋体" w:hAnsi="宋体" w:hint="default"/>
          <w:szCs w:val="21"/>
        </w:rPr>
      </w:pPr>
      <w:r>
        <w:rPr>
          <w:rFonts w:ascii="宋体" w:hAnsi="宋体"/>
          <w:b/>
          <w:szCs w:val="21"/>
        </w:rPr>
        <w:t>十四、违约责任：</w:t>
      </w:r>
    </w:p>
    <w:p>
      <w:pPr>
        <w:tabs>
          <w:tab w:val="left" w:pos="6930"/>
        </w:tabs>
        <w:spacing w:line="360" w:lineRule="auto"/>
        <w:ind w:firstLine="480" w:firstLineChars="200"/>
        <w:rPr>
          <w:rFonts w:ascii="宋体" w:hAnsi="宋体" w:hint="default"/>
          <w:szCs w:val="21"/>
        </w:rPr>
      </w:pPr>
      <w:r>
        <w:rPr>
          <w:rFonts w:ascii="宋体" w:hAnsi="宋体"/>
          <w:szCs w:val="21"/>
        </w:rPr>
        <w:t>除发生不可抗力事实外，乙方所交衣物和调换与合同标准不相符合的，甲方有权拒收衣物，乙方无权请求返还履约保证金；逾期交货将向甲方每日偿付合同总额千分之一的滞纳金。因乙方不能按期交付衣物或完成调换和所交衣物或调换与合同标准不符使甲方造成经济损失的应依法赔偿。</w:t>
      </w:r>
    </w:p>
    <w:p>
      <w:pPr>
        <w:tabs>
          <w:tab w:val="left" w:pos="6930"/>
        </w:tabs>
        <w:spacing w:line="360" w:lineRule="auto"/>
        <w:ind w:firstLine="480" w:firstLineChars="200"/>
        <w:rPr>
          <w:rFonts w:ascii="宋体" w:hAnsi="宋体" w:hint="default"/>
          <w:szCs w:val="21"/>
        </w:rPr>
      </w:pPr>
      <w:r>
        <w:rPr>
          <w:rFonts w:ascii="宋体" w:hAnsi="宋体"/>
          <w:szCs w:val="21"/>
        </w:rPr>
        <w:t>甲方无正当理由拒收衣物，甲方向乙方偿付合同款总价百分之五的违约金；逾期支付合同款将向乙方每日偿付欠款总额千分之一的滞纳金。</w:t>
      </w:r>
    </w:p>
    <w:p>
      <w:pPr>
        <w:tabs>
          <w:tab w:val="left" w:pos="6930"/>
        </w:tabs>
        <w:spacing w:line="360" w:lineRule="auto"/>
        <w:ind w:firstLine="480" w:firstLineChars="200"/>
        <w:rPr>
          <w:rFonts w:ascii="宋体" w:hAnsi="宋体" w:hint="default"/>
          <w:szCs w:val="21"/>
        </w:rPr>
      </w:pPr>
      <w:r>
        <w:rPr>
          <w:rFonts w:ascii="宋体" w:hAnsi="宋体"/>
          <w:szCs w:val="21"/>
        </w:rPr>
        <w:t>甲方有权拒付合同价以外的任何费用；乙方有权拒绝合同整体范围以外的条件。</w:t>
      </w:r>
    </w:p>
    <w:p>
      <w:pPr>
        <w:tabs>
          <w:tab w:val="left" w:pos="6930"/>
        </w:tabs>
        <w:spacing w:line="360" w:lineRule="auto"/>
        <w:ind w:firstLine="480" w:firstLineChars="200"/>
        <w:rPr>
          <w:rFonts w:ascii="宋体" w:hAnsi="宋体" w:hint="default"/>
          <w:szCs w:val="21"/>
        </w:rPr>
      </w:pPr>
      <w:r>
        <w:rPr>
          <w:rFonts w:ascii="宋体" w:hAnsi="宋体"/>
          <w:b/>
          <w:bCs/>
          <w:szCs w:val="21"/>
        </w:rPr>
        <w:t>十五、</w:t>
      </w:r>
      <w:r>
        <w:rPr>
          <w:rFonts w:ascii="宋体" w:hAnsi="宋体"/>
          <w:szCs w:val="21"/>
        </w:rPr>
        <w:t>甲乙双方在履行合同过程中发生纠纷，应及时向有关管理部门反映，以便相关部门进行协调或处理；也可以直接向合同签订地仲裁部门申请仲裁。对仲裁结果发生争议产生的诉讼，由合同签订地人民法院管辖。</w:t>
      </w:r>
    </w:p>
    <w:p>
      <w:pPr>
        <w:tabs>
          <w:tab w:val="left" w:pos="6930"/>
        </w:tabs>
        <w:spacing w:line="360" w:lineRule="auto"/>
        <w:ind w:firstLine="480" w:firstLineChars="200"/>
        <w:rPr>
          <w:rFonts w:ascii="宋体" w:hAnsi="宋体" w:hint="default"/>
          <w:szCs w:val="21"/>
        </w:rPr>
      </w:pPr>
      <w:r>
        <w:rPr>
          <w:rFonts w:ascii="宋体" w:hAnsi="宋体"/>
          <w:b/>
          <w:bCs/>
          <w:szCs w:val="21"/>
        </w:rPr>
        <w:t>十六</w:t>
      </w:r>
      <w:r>
        <w:rPr>
          <w:rFonts w:ascii="宋体" w:hAnsi="宋体"/>
          <w:szCs w:val="21"/>
        </w:rPr>
        <w:t>、本合同其他未尽事宜，按国家《合同法》有关规定处理。</w:t>
      </w:r>
    </w:p>
    <w:p>
      <w:pPr>
        <w:tabs>
          <w:tab w:val="left" w:pos="6930"/>
        </w:tabs>
        <w:spacing w:line="360" w:lineRule="auto"/>
        <w:ind w:firstLine="480" w:firstLineChars="200"/>
        <w:rPr>
          <w:rFonts w:ascii="宋体" w:hAnsi="宋体" w:hint="default"/>
          <w:szCs w:val="21"/>
        </w:rPr>
      </w:pPr>
      <w:r>
        <w:rPr>
          <w:rFonts w:ascii="宋体" w:hAnsi="宋体"/>
          <w:b/>
          <w:bCs/>
          <w:szCs w:val="21"/>
        </w:rPr>
        <w:t>十七</w:t>
      </w:r>
      <w:r>
        <w:rPr>
          <w:rFonts w:ascii="宋体" w:hAnsi="宋体"/>
          <w:szCs w:val="21"/>
        </w:rPr>
        <w:t>、本合同一式伍份，甲方肆份，乙方各执壹份。</w:t>
      </w:r>
    </w:p>
    <w:p>
      <w:pPr>
        <w:tabs>
          <w:tab w:val="left" w:pos="6930"/>
        </w:tabs>
        <w:spacing w:line="360" w:lineRule="auto"/>
        <w:ind w:firstLine="480" w:firstLineChars="200"/>
        <w:rPr>
          <w:rFonts w:ascii="宋体" w:hAnsi="宋体" w:hint="default"/>
          <w:szCs w:val="21"/>
        </w:rPr>
      </w:pPr>
      <w:r>
        <w:rPr>
          <w:rFonts w:ascii="宋体" w:hAnsi="宋体"/>
          <w:b/>
          <w:bCs/>
          <w:szCs w:val="21"/>
        </w:rPr>
        <w:t>十八、</w:t>
      </w:r>
      <w:r>
        <w:rPr>
          <w:rFonts w:ascii="宋体" w:hAnsi="宋体"/>
          <w:szCs w:val="21"/>
        </w:rPr>
        <w:t>本合同自签订之日起生效。</w:t>
      </w:r>
    </w:p>
    <w:p>
      <w:pPr>
        <w:tabs>
          <w:tab w:val="left" w:pos="6930"/>
        </w:tabs>
        <w:spacing w:line="360" w:lineRule="auto"/>
        <w:ind w:firstLine="480" w:firstLineChars="200"/>
        <w:rPr>
          <w:rFonts w:ascii="宋体" w:hAnsi="宋体" w:hint="default"/>
          <w:szCs w:val="21"/>
        </w:rPr>
      </w:pPr>
      <w:r>
        <w:rPr>
          <w:rFonts w:ascii="宋体" w:hAnsi="宋体"/>
          <w:b/>
          <w:bCs/>
          <w:szCs w:val="21"/>
        </w:rPr>
        <w:t>十九、</w:t>
      </w:r>
      <w:r>
        <w:rPr>
          <w:rFonts w:ascii="宋体" w:hAnsi="宋体"/>
          <w:szCs w:val="21"/>
        </w:rPr>
        <w:t>本合同不可分割之部分：</w:t>
      </w:r>
    </w:p>
    <w:p>
      <w:pPr>
        <w:spacing w:line="360" w:lineRule="auto"/>
        <w:ind w:firstLine="480"/>
        <w:rPr>
          <w:rFonts w:ascii="宋体" w:hAnsi="宋体" w:hint="default"/>
          <w:szCs w:val="21"/>
        </w:rPr>
      </w:pPr>
      <w:r>
        <w:rPr>
          <w:rFonts w:ascii="宋体" w:hAnsi="宋体"/>
          <w:szCs w:val="21"/>
        </w:rPr>
        <w:t>1、中标人投标文件；2、中标通知书；3、合同书附件。</w:t>
      </w:r>
    </w:p>
    <w:p>
      <w:pPr>
        <w:pStyle w:val="BodyText"/>
        <w:ind w:left="0"/>
        <w:rPr>
          <w:rFonts w:hint="default"/>
          <w:b/>
          <w:bCs/>
          <w:sz w:val="32"/>
          <w:szCs w:val="32"/>
        </w:rPr>
      </w:pPr>
    </w:p>
    <w:p>
      <w:pPr>
        <w:pStyle w:val="BodyText"/>
        <w:ind w:left="0"/>
        <w:rPr>
          <w:rFonts w:hint="default"/>
          <w:b/>
          <w:bCs/>
          <w:sz w:val="32"/>
          <w:szCs w:val="32"/>
        </w:rPr>
      </w:pPr>
    </w:p>
    <w:p>
      <w:pPr>
        <w:rPr>
          <w:rFonts w:hint="default"/>
        </w:rPr>
      </w:pPr>
    </w:p>
    <w:p>
      <w:pPr>
        <w:rPr>
          <w:rFonts w:hint="default"/>
        </w:rPr>
      </w:pPr>
      <w:bookmarkStart w:id="16" w:name="_Toc16457"/>
      <w:bookmarkStart w:id="17" w:name="_Toc21341"/>
    </w:p>
    <w:p>
      <w:pPr>
        <w:rPr>
          <w:rFonts w:hint="default"/>
        </w:rPr>
      </w:pPr>
    </w:p>
    <w:p>
      <w:pPr>
        <w:jc w:val="center"/>
        <w:rPr>
          <w:rFonts w:hint="default"/>
        </w:rPr>
      </w:pPr>
      <w:r>
        <w:rPr>
          <w:b/>
          <w:bCs/>
          <w:sz w:val="32"/>
          <w:szCs w:val="32"/>
        </w:rPr>
        <w:t>第四章</w:t>
      </w:r>
      <w:r>
        <w:rPr>
          <w:b/>
          <w:bCs/>
          <w:sz w:val="32"/>
          <w:szCs w:val="32"/>
        </w:rPr>
        <w:tab/>
      </w:r>
      <w:r>
        <w:rPr>
          <w:b/>
          <w:bCs/>
          <w:sz w:val="32"/>
          <w:szCs w:val="32"/>
        </w:rPr>
        <w:t>投标文件格式</w:t>
      </w:r>
      <w:bookmarkEnd w:id="16"/>
      <w:bookmarkEnd w:id="17"/>
    </w:p>
    <w:p>
      <w:pPr>
        <w:rPr>
          <w:rFonts w:hint="default"/>
        </w:rPr>
      </w:pPr>
    </w:p>
    <w:p>
      <w:pPr>
        <w:rPr>
          <w:rFonts w:hint="default"/>
        </w:rPr>
      </w:pPr>
    </w:p>
    <w:p>
      <w:pPr>
        <w:jc w:val="center"/>
        <w:rPr>
          <w:rFonts w:hint="default"/>
          <w:sz w:val="30"/>
          <w:szCs w:val="30"/>
        </w:rPr>
      </w:pPr>
      <w:r>
        <w:rPr>
          <w:sz w:val="30"/>
          <w:szCs w:val="30"/>
        </w:rPr>
        <w:t>（项目名称）</w:t>
      </w:r>
    </w:p>
    <w:p>
      <w:pPr>
        <w:jc w:val="center"/>
        <w:rPr>
          <w:rFonts w:hint="default"/>
          <w:sz w:val="30"/>
          <w:szCs w:val="30"/>
        </w:rPr>
      </w:pPr>
    </w:p>
    <w:p>
      <w:pPr>
        <w:jc w:val="center"/>
        <w:rPr>
          <w:rFonts w:hint="default"/>
          <w:sz w:val="30"/>
          <w:szCs w:val="30"/>
        </w:rPr>
      </w:pPr>
      <w:r>
        <w:rPr>
          <w:sz w:val="30"/>
          <w:szCs w:val="30"/>
        </w:rPr>
        <w:t>项目编号：</w:t>
      </w:r>
    </w:p>
    <w:p>
      <w:pPr>
        <w:pStyle w:val="BodyText"/>
        <w:ind w:left="0" w:firstLine="0" w:leftChars="0" w:firstLineChars="0"/>
        <w:rPr>
          <w:rFonts w:hint="default"/>
        </w:rPr>
      </w:pPr>
    </w:p>
    <w:p>
      <w:pPr>
        <w:rPr>
          <w:rFonts w:hint="default"/>
        </w:rPr>
      </w:pPr>
    </w:p>
    <w:p>
      <w:pPr>
        <w:jc w:val="center"/>
        <w:rPr>
          <w:rFonts w:hint="default"/>
          <w:b/>
          <w:bCs/>
          <w:sz w:val="32"/>
          <w:szCs w:val="32"/>
        </w:rPr>
      </w:pPr>
      <w:r>
        <w:rPr>
          <w:b/>
          <w:bCs/>
          <w:sz w:val="32"/>
          <w:szCs w:val="32"/>
        </w:rPr>
        <w:t>投</w:t>
      </w:r>
      <w:r>
        <w:rPr>
          <w:b/>
          <w:bCs/>
          <w:sz w:val="32"/>
          <w:szCs w:val="32"/>
        </w:rPr>
        <w:tab/>
      </w:r>
      <w:r>
        <w:rPr>
          <w:b/>
          <w:bCs/>
          <w:sz w:val="32"/>
          <w:szCs w:val="32"/>
        </w:rPr>
        <w:t>标</w:t>
      </w:r>
      <w:r>
        <w:rPr>
          <w:b/>
          <w:bCs/>
          <w:sz w:val="32"/>
          <w:szCs w:val="32"/>
        </w:rPr>
        <w:tab/>
      </w:r>
      <w:r>
        <w:rPr>
          <w:b/>
          <w:bCs/>
          <w:sz w:val="32"/>
          <w:szCs w:val="32"/>
        </w:rPr>
        <w:t>文</w:t>
      </w:r>
      <w:r>
        <w:rPr>
          <w:b/>
          <w:bCs/>
          <w:sz w:val="32"/>
          <w:szCs w:val="32"/>
        </w:rPr>
        <w:tab/>
      </w:r>
      <w:r>
        <w:rPr>
          <w:b/>
          <w:bCs/>
          <w:sz w:val="32"/>
          <w:szCs w:val="32"/>
        </w:rPr>
        <w:t>件</w:t>
      </w:r>
    </w:p>
    <w:p>
      <w:pPr>
        <w:rPr>
          <w:rFonts w:hint="default"/>
        </w:rPr>
      </w:pPr>
    </w:p>
    <w:p>
      <w:pPr>
        <w:rPr>
          <w:rFonts w:hint="default"/>
        </w:rPr>
      </w:pPr>
    </w:p>
    <w:p>
      <w:pPr>
        <w:rPr>
          <w:rFonts w:hint="default"/>
        </w:rPr>
      </w:pPr>
    </w:p>
    <w:p>
      <w:pPr>
        <w:rPr>
          <w:rFonts w:hint="default"/>
        </w:rPr>
      </w:pPr>
    </w:p>
    <w:p>
      <w:pPr>
        <w:rPr>
          <w:rFonts w:hint="default"/>
        </w:rPr>
      </w:pPr>
      <w:r>
        <w:t>投标人（电子公章）：</w:t>
      </w:r>
    </w:p>
    <w:p>
      <w:pPr>
        <w:rPr>
          <w:rFonts w:hint="default"/>
        </w:rPr>
      </w:pPr>
      <w:r>
        <w:t xml:space="preserve">法定代表人或委托代理人（电子签名和电子签章）： </w:t>
      </w:r>
    </w:p>
    <w:p>
      <w:pPr>
        <w:rPr>
          <w:rFonts w:hint="default"/>
        </w:rPr>
      </w:pPr>
      <w:r>
        <w:t>单位地址：</w:t>
      </w:r>
    </w:p>
    <w:p>
      <w:pPr>
        <w:rPr>
          <w:rFonts w:hint="default"/>
        </w:rPr>
      </w:pPr>
      <w:r>
        <w:t>日</w:t>
      </w:r>
      <w:r>
        <w:tab/>
      </w:r>
      <w:r>
        <w:t>期：</w:t>
      </w:r>
      <w:r>
        <w:rPr>
          <w:rFonts w:hint="default"/>
        </w:rPr>
        <w:tab/>
      </w:r>
      <w:r>
        <w:t>年</w:t>
      </w:r>
      <w:r>
        <w:rPr>
          <w:rFonts w:hint="default"/>
        </w:rPr>
        <w:tab/>
      </w:r>
      <w:r>
        <w:t>月</w:t>
      </w:r>
      <w:r>
        <w:rPr>
          <w:rFonts w:hint="default"/>
        </w:rPr>
        <w:tab/>
      </w:r>
      <w:r>
        <w:t>日</w:t>
      </w:r>
    </w:p>
    <w:p>
      <w:pPr>
        <w:rPr>
          <w:rFonts w:hint="default"/>
        </w:rPr>
      </w:pPr>
    </w:p>
    <w:p>
      <w:pPr>
        <w:rPr>
          <w:rFonts w:hint="default"/>
        </w:rPr>
      </w:pPr>
    </w:p>
    <w:p>
      <w:pPr>
        <w:pStyle w:val="BodyText"/>
        <w:rPr>
          <w:rFonts w:hint="default"/>
        </w:rPr>
      </w:pPr>
    </w:p>
    <w:p>
      <w:pPr>
        <w:pStyle w:val="BodyText"/>
        <w:rPr>
          <w:rFonts w:hint="default"/>
        </w:rPr>
      </w:pPr>
    </w:p>
    <w:p>
      <w:pPr>
        <w:pStyle w:val="BodyText"/>
        <w:rPr>
          <w:rFonts w:hint="default"/>
        </w:rPr>
      </w:pPr>
    </w:p>
    <w:p>
      <w:pPr>
        <w:pStyle w:val="BodyText"/>
        <w:rPr>
          <w:rFonts w:hint="default"/>
        </w:rPr>
      </w:pPr>
    </w:p>
    <w:p>
      <w:pPr>
        <w:pStyle w:val="BodyText"/>
        <w:ind w:left="0"/>
        <w:rPr>
          <w:rFonts w:hint="default"/>
          <w:b/>
          <w:bCs/>
          <w:sz w:val="32"/>
          <w:szCs w:val="32"/>
        </w:rPr>
      </w:pPr>
    </w:p>
    <w:p>
      <w:pPr>
        <w:rPr>
          <w:rFonts w:hint="default"/>
        </w:rPr>
      </w:pPr>
    </w:p>
    <w:p>
      <w:pPr>
        <w:pStyle w:val="Heading2"/>
        <w:keepNext w:val="0"/>
        <w:numPr>
          <w:ilvl w:val="0"/>
          <w:numId w:val="0"/>
        </w:numPr>
        <w:tabs>
          <w:tab w:val="left" w:pos="1021"/>
        </w:tabs>
        <w:ind w:left="425"/>
        <w:jc w:val="center"/>
        <w:rPr>
          <w:rFonts w:ascii="宋体" w:eastAsia="宋体" w:hAnsi="宋体" w:hint="default"/>
          <w:sz w:val="32"/>
          <w:szCs w:val="32"/>
        </w:rPr>
      </w:pPr>
      <w:r>
        <w:rPr>
          <w:rFonts w:ascii="宋体" w:eastAsia="宋体" w:hAnsi="宋体"/>
          <w:sz w:val="32"/>
          <w:szCs w:val="32"/>
        </w:rPr>
        <w:t>开标一览表</w:t>
      </w:r>
    </w:p>
    <w:p>
      <w:pPr>
        <w:pStyle w:val="PlainText"/>
        <w:ind w:firstLine="240" w:firstLineChars="100"/>
        <w:rPr>
          <w:rFonts w:hAnsi="宋体" w:hint="default"/>
          <w:bCs/>
          <w:szCs w:val="21"/>
          <w:u w:val="single"/>
        </w:rPr>
      </w:pPr>
      <w:r>
        <w:rPr>
          <w:rFonts w:hAnsi="宋体"/>
          <w:bCs/>
          <w:szCs w:val="21"/>
        </w:rPr>
        <w:t>项目名称：                                项目编号：</w:t>
      </w:r>
    </w:p>
    <w:tbl>
      <w:tblPr>
        <w:tblStyle w:val="TableNormal"/>
        <w:tblpPr w:leftFromText="180" w:rightFromText="180" w:vertAnchor="text" w:horzAnchor="page" w:tblpX="1281" w:tblpY="55"/>
        <w:tblOverlap w:val="never"/>
        <w:tblW w:w="0" w:type="auto"/>
        <w:tblInd w:w="0" w:type="dxa"/>
        <w:tblLayout w:type="fixed"/>
        <w:tblCellMar>
          <w:top w:w="15" w:type="dxa"/>
          <w:left w:w="15" w:type="dxa"/>
          <w:bottom w:w="15" w:type="dxa"/>
          <w:right w:w="15" w:type="dxa"/>
        </w:tblCellMar>
      </w:tblPr>
      <w:tblGrid>
        <w:gridCol w:w="2553"/>
        <w:gridCol w:w="6822"/>
      </w:tblGrid>
      <w:tr>
        <w:tblPrEx>
          <w:tblW w:w="0" w:type="auto"/>
          <w:tblInd w:w="0" w:type="dxa"/>
          <w:tblLayout w:type="fixed"/>
          <w:tblCellMar>
            <w:top w:w="15" w:type="dxa"/>
            <w:left w:w="15" w:type="dxa"/>
            <w:bottom w:w="15" w:type="dxa"/>
            <w:right w:w="15" w:type="dxa"/>
          </w:tblCellMar>
        </w:tblPrEx>
        <w:trPr>
          <w:trHeight w:val="285"/>
        </w:trPr>
        <w:tc>
          <w:tcPr>
            <w:tcW w:w="2553" w:type="dxa"/>
            <w:vMerge w:val="restart"/>
            <w:tcBorders>
              <w:top w:val="single" w:sz="4" w:space="0" w:color="808080"/>
              <w:left w:val="single" w:sz="4" w:space="0" w:color="808080"/>
              <w:bottom w:val="single" w:sz="4" w:space="0" w:color="808080"/>
              <w:right w:val="single" w:sz="4" w:space="0" w:color="808080"/>
            </w:tcBorders>
            <w:vAlign w:val="center"/>
          </w:tcPr>
          <w:p>
            <w:pPr>
              <w:jc w:val="center"/>
              <w:rPr>
                <w:rFonts w:hint="default"/>
                <w:sz w:val="22"/>
              </w:rPr>
            </w:pPr>
            <w:r>
              <w:rPr>
                <w:rFonts w:ascii="宋体" w:hAnsi="宋体"/>
              </w:rPr>
              <w:t>投标总价（元）</w:t>
            </w:r>
          </w:p>
        </w:tc>
        <w:tc>
          <w:tcPr>
            <w:tcW w:w="6822" w:type="dxa"/>
            <w:vMerge w:val="restart"/>
            <w:tcBorders>
              <w:top w:val="single" w:sz="4" w:space="0" w:color="808080"/>
              <w:left w:val="single" w:sz="4" w:space="0" w:color="808080"/>
              <w:bottom w:val="single" w:sz="4" w:space="0" w:color="808080"/>
              <w:right w:val="single" w:sz="4" w:space="0" w:color="808080"/>
            </w:tcBorders>
            <w:vAlign w:val="center"/>
          </w:tcPr>
          <w:p>
            <w:pPr>
              <w:jc w:val="both"/>
              <w:rPr>
                <w:rFonts w:eastAsia="宋体" w:hint="default"/>
                <w:lang w:val="en-US" w:eastAsia="zh-CN"/>
              </w:rPr>
            </w:pPr>
            <w:r>
              <w:rPr>
                <w:rFonts w:hint="eastAsia"/>
                <w:lang w:val="en-US" w:eastAsia="zh-CN"/>
              </w:rPr>
              <w:t>大写：                      小写：</w:t>
            </w:r>
          </w:p>
        </w:tc>
      </w:tr>
      <w:tr>
        <w:tblPrEx>
          <w:tblW w:w="0" w:type="auto"/>
          <w:tblInd w:w="0" w:type="dxa"/>
          <w:tblLayout w:type="fixed"/>
          <w:tblCellMar>
            <w:top w:w="15" w:type="dxa"/>
            <w:left w:w="15" w:type="dxa"/>
            <w:bottom w:w="15" w:type="dxa"/>
            <w:right w:w="15" w:type="dxa"/>
          </w:tblCellMar>
        </w:tblPrEx>
        <w:trPr>
          <w:trHeight w:val="312"/>
        </w:trPr>
        <w:tc>
          <w:tcPr>
            <w:tcW w:w="2553" w:type="dxa"/>
            <w:vMerge/>
            <w:tcBorders>
              <w:top w:val="single" w:sz="4" w:space="0" w:color="808080"/>
              <w:left w:val="single" w:sz="4" w:space="0" w:color="808080"/>
              <w:bottom w:val="single" w:sz="4" w:space="0" w:color="808080"/>
              <w:right w:val="single" w:sz="4" w:space="0" w:color="808080"/>
            </w:tcBorders>
            <w:vAlign w:val="center"/>
          </w:tcPr>
          <w:p>
            <w:pPr>
              <w:rPr>
                <w:rFonts w:hint="default"/>
                <w:sz w:val="22"/>
              </w:rPr>
            </w:pPr>
          </w:p>
        </w:tc>
        <w:tc>
          <w:tcPr>
            <w:tcW w:w="6822" w:type="dxa"/>
            <w:vMerge/>
            <w:tcBorders>
              <w:top w:val="single" w:sz="4" w:space="0" w:color="808080"/>
              <w:left w:val="single" w:sz="4" w:space="0" w:color="808080"/>
              <w:bottom w:val="single" w:sz="4" w:space="0" w:color="808080"/>
              <w:right w:val="single" w:sz="4" w:space="0" w:color="808080"/>
            </w:tcBorders>
            <w:vAlign w:val="center"/>
          </w:tcPr>
          <w:p>
            <w:pPr>
              <w:jc w:val="center"/>
              <w:rPr>
                <w:rFonts w:hint="default"/>
              </w:rPr>
            </w:pPr>
          </w:p>
        </w:tc>
      </w:tr>
      <w:tr>
        <w:tblPrEx>
          <w:tblW w:w="0" w:type="auto"/>
          <w:tblInd w:w="0" w:type="dxa"/>
          <w:tblLayout w:type="fixed"/>
          <w:tblCellMar>
            <w:top w:w="15" w:type="dxa"/>
            <w:left w:w="15" w:type="dxa"/>
            <w:bottom w:w="15" w:type="dxa"/>
            <w:right w:w="15" w:type="dxa"/>
          </w:tblCellMar>
        </w:tblPrEx>
        <w:trPr>
          <w:trHeight w:val="570"/>
        </w:trPr>
        <w:tc>
          <w:tcPr>
            <w:tcW w:w="2553" w:type="dxa"/>
            <w:tcBorders>
              <w:top w:val="single" w:sz="4" w:space="0" w:color="808080"/>
              <w:left w:val="single" w:sz="4" w:space="0" w:color="808080"/>
              <w:bottom w:val="single" w:sz="4" w:space="0" w:color="808080"/>
              <w:right w:val="single" w:sz="4" w:space="0" w:color="808080"/>
            </w:tcBorders>
            <w:vAlign w:val="center"/>
          </w:tcPr>
          <w:p>
            <w:pPr>
              <w:widowControl/>
              <w:jc w:val="center"/>
              <w:textAlignment w:val="top"/>
              <w:rPr>
                <w:rFonts w:hint="default"/>
              </w:rPr>
            </w:pPr>
            <w:r>
              <w:rPr>
                <w:rFonts w:ascii="宋体" w:hAnsi="宋体"/>
              </w:rPr>
              <w:t>交货期</w:t>
            </w:r>
          </w:p>
        </w:tc>
        <w:tc>
          <w:tcPr>
            <w:tcW w:w="6822" w:type="dxa"/>
            <w:tcBorders>
              <w:top w:val="single" w:sz="4" w:space="0" w:color="808080"/>
              <w:left w:val="single" w:sz="4" w:space="0" w:color="808080"/>
              <w:bottom w:val="single" w:sz="4" w:space="0" w:color="808080"/>
              <w:right w:val="single" w:sz="4" w:space="0" w:color="808080"/>
            </w:tcBorders>
            <w:vAlign w:val="center"/>
          </w:tcPr>
          <w:p>
            <w:pPr>
              <w:jc w:val="center"/>
              <w:rPr>
                <w:rFonts w:eastAsia="Times New Roman" w:hint="default"/>
              </w:rPr>
            </w:pPr>
          </w:p>
        </w:tc>
      </w:tr>
      <w:tr>
        <w:tblPrEx>
          <w:tblW w:w="0" w:type="auto"/>
          <w:tblInd w:w="0" w:type="dxa"/>
          <w:tblLayout w:type="fixed"/>
          <w:tblCellMar>
            <w:top w:w="15" w:type="dxa"/>
            <w:left w:w="15" w:type="dxa"/>
            <w:bottom w:w="15" w:type="dxa"/>
            <w:right w:w="15" w:type="dxa"/>
          </w:tblCellMar>
        </w:tblPrEx>
        <w:trPr>
          <w:trHeight w:val="605"/>
        </w:trPr>
        <w:tc>
          <w:tcPr>
            <w:tcW w:w="2553" w:type="dxa"/>
            <w:tcBorders>
              <w:top w:val="single" w:sz="4" w:space="0" w:color="808080"/>
              <w:left w:val="single" w:sz="4" w:space="0" w:color="808080"/>
              <w:bottom w:val="single" w:sz="4" w:space="0" w:color="808080"/>
              <w:right w:val="single" w:sz="4" w:space="0" w:color="808080"/>
            </w:tcBorders>
            <w:vAlign w:val="center"/>
          </w:tcPr>
          <w:p>
            <w:pPr>
              <w:widowControl/>
              <w:jc w:val="center"/>
              <w:textAlignment w:val="top"/>
              <w:rPr>
                <w:rFonts w:hint="default"/>
              </w:rPr>
            </w:pPr>
            <w:r>
              <w:rPr>
                <w:rFonts w:ascii="宋体" w:hAnsi="宋体"/>
              </w:rPr>
              <w:t>交货地点</w:t>
            </w:r>
          </w:p>
        </w:tc>
        <w:tc>
          <w:tcPr>
            <w:tcW w:w="6822" w:type="dxa"/>
            <w:tcBorders>
              <w:top w:val="single" w:sz="4" w:space="0" w:color="808080"/>
              <w:left w:val="single" w:sz="4" w:space="0" w:color="808080"/>
              <w:bottom w:val="single" w:sz="4" w:space="0" w:color="808080"/>
              <w:right w:val="single" w:sz="4" w:space="0" w:color="808080"/>
            </w:tcBorders>
            <w:vAlign w:val="center"/>
          </w:tcPr>
          <w:p>
            <w:pPr>
              <w:jc w:val="center"/>
              <w:rPr>
                <w:rFonts w:eastAsia="Times New Roman" w:hint="default"/>
              </w:rPr>
            </w:pPr>
          </w:p>
        </w:tc>
      </w:tr>
      <w:tr>
        <w:tblPrEx>
          <w:tblW w:w="0" w:type="auto"/>
          <w:tblInd w:w="0" w:type="dxa"/>
          <w:tblLayout w:type="fixed"/>
          <w:tblCellMar>
            <w:top w:w="15" w:type="dxa"/>
            <w:left w:w="15" w:type="dxa"/>
            <w:bottom w:w="15" w:type="dxa"/>
            <w:right w:w="15" w:type="dxa"/>
          </w:tblCellMar>
        </w:tblPrEx>
        <w:trPr>
          <w:trHeight w:val="751"/>
        </w:trPr>
        <w:tc>
          <w:tcPr>
            <w:tcW w:w="2553" w:type="dxa"/>
            <w:tcBorders>
              <w:top w:val="single" w:sz="4" w:space="0" w:color="808080"/>
              <w:left w:val="single" w:sz="4" w:space="0" w:color="808080"/>
              <w:bottom w:val="single" w:sz="4" w:space="0" w:color="auto"/>
              <w:right w:val="single" w:sz="4" w:space="0" w:color="808080"/>
            </w:tcBorders>
            <w:vAlign w:val="center"/>
          </w:tcPr>
          <w:p>
            <w:pPr>
              <w:widowControl/>
              <w:jc w:val="center"/>
              <w:textAlignment w:val="top"/>
              <w:rPr>
                <w:rFonts w:hint="default"/>
              </w:rPr>
            </w:pPr>
            <w:r>
              <w:rPr>
                <w:rFonts w:ascii="宋体" w:hAnsi="宋体"/>
              </w:rPr>
              <w:t>备注</w:t>
            </w:r>
          </w:p>
        </w:tc>
        <w:tc>
          <w:tcPr>
            <w:tcW w:w="6822" w:type="dxa"/>
            <w:tcBorders>
              <w:top w:val="single" w:sz="4" w:space="0" w:color="808080"/>
              <w:left w:val="single" w:sz="4" w:space="0" w:color="808080"/>
              <w:bottom w:val="single" w:sz="4" w:space="0" w:color="auto"/>
              <w:right w:val="single" w:sz="4" w:space="0" w:color="808080"/>
            </w:tcBorders>
            <w:vAlign w:val="center"/>
          </w:tcPr>
          <w:p>
            <w:pPr>
              <w:jc w:val="center"/>
              <w:rPr>
                <w:rFonts w:eastAsia="Times New Roman" w:hint="default"/>
              </w:rPr>
            </w:pPr>
          </w:p>
        </w:tc>
      </w:tr>
    </w:tbl>
    <w:p>
      <w:pPr>
        <w:pStyle w:val="BodyText"/>
        <w:ind w:left="0" w:firstLine="320" w:firstLineChars="100"/>
        <w:rPr>
          <w:b/>
          <w:bCs/>
          <w:sz w:val="32"/>
          <w:szCs w:val="32"/>
        </w:rPr>
      </w:pPr>
    </w:p>
    <w:p>
      <w:pPr>
        <w:pStyle w:val="BodyText"/>
        <w:ind w:left="0" w:firstLine="320" w:firstLineChars="100"/>
        <w:rPr>
          <w:b/>
          <w:bCs/>
          <w:sz w:val="32"/>
          <w:szCs w:val="32"/>
        </w:rPr>
      </w:pPr>
    </w:p>
    <w:p>
      <w:pPr>
        <w:pStyle w:val="BodyText"/>
        <w:tabs>
          <w:tab w:val="left" w:pos="3940"/>
          <w:tab w:val="left" w:pos="4643"/>
          <w:tab w:val="left" w:pos="7229"/>
          <w:tab w:val="left" w:pos="7493"/>
          <w:tab w:val="left" w:pos="8367"/>
        </w:tabs>
        <w:kinsoku w:val="0"/>
        <w:overflowPunct w:val="0"/>
        <w:spacing w:before="102" w:line="340" w:lineRule="auto"/>
        <w:ind w:left="0" w:right="154" w:firstLine="240" w:firstLineChars="100"/>
        <w:jc w:val="both"/>
        <w:rPr>
          <w:szCs w:val="22"/>
        </w:rPr>
      </w:pPr>
    </w:p>
    <w:p>
      <w:pPr>
        <w:pStyle w:val="BodyText"/>
        <w:tabs>
          <w:tab w:val="left" w:pos="3940"/>
          <w:tab w:val="left" w:pos="4643"/>
          <w:tab w:val="left" w:pos="7229"/>
          <w:tab w:val="left" w:pos="7493"/>
          <w:tab w:val="left" w:pos="8367"/>
        </w:tabs>
        <w:kinsoku w:val="0"/>
        <w:overflowPunct w:val="0"/>
        <w:spacing w:before="102" w:line="340" w:lineRule="auto"/>
        <w:ind w:left="0" w:right="154" w:firstLine="240" w:firstLineChars="100"/>
        <w:jc w:val="both"/>
        <w:rPr>
          <w:rFonts w:hint="default"/>
          <w:szCs w:val="22"/>
        </w:rPr>
      </w:pPr>
      <w:r>
        <w:rPr>
          <w:szCs w:val="22"/>
        </w:rPr>
        <w:t>投标人（电子公章）：</w:t>
      </w:r>
    </w:p>
    <w:p>
      <w:pPr>
        <w:pStyle w:val="BodyText"/>
        <w:ind w:left="0" w:firstLine="240" w:firstLineChars="100"/>
        <w:rPr>
          <w:rFonts w:ascii="宋体" w:hAnsi="宋体"/>
          <w:color w:val="000000"/>
        </w:rPr>
      </w:pPr>
    </w:p>
    <w:p>
      <w:pPr>
        <w:pStyle w:val="BodyText"/>
        <w:ind w:left="0" w:firstLine="240" w:firstLineChars="100"/>
        <w:rPr>
          <w:rFonts w:ascii="宋体" w:hAnsi="宋体"/>
          <w:color w:val="000000"/>
        </w:rPr>
      </w:pPr>
    </w:p>
    <w:p>
      <w:pPr>
        <w:pStyle w:val="BodyText"/>
        <w:ind w:left="0" w:firstLine="240" w:firstLineChars="100"/>
        <w:rPr>
          <w:rFonts w:ascii="宋体" w:hAnsi="宋体"/>
          <w:color w:val="000000"/>
        </w:rPr>
      </w:pPr>
      <w:r>
        <w:rPr>
          <w:rFonts w:ascii="宋体" w:hAnsi="宋体"/>
          <w:color w:val="000000"/>
        </w:rPr>
        <w:t>法定代表人</w:t>
      </w:r>
      <w:r>
        <w:t>或委托代理人</w:t>
      </w:r>
      <w:r>
        <w:rPr>
          <w:rFonts w:ascii="宋体" w:hAnsi="宋体"/>
          <w:color w:val="000000"/>
        </w:rPr>
        <w:t>（电子签名和电子签章）：</w:t>
      </w:r>
    </w:p>
    <w:p>
      <w:pPr>
        <w:pStyle w:val="a"/>
        <w:ind w:firstLine="560" w:firstLineChars="200"/>
        <w:rPr>
          <w:rFonts w:asciiTheme="minorEastAsia" w:eastAsiaTheme="minorEastAsia" w:hAnsiTheme="minorEastAsia" w:cstheme="minorEastAsia" w:hint="eastAsia"/>
          <w:b w:val="0"/>
          <w:bCs w:val="0"/>
          <w:color w:val="000000"/>
          <w:sz w:val="28"/>
          <w:szCs w:val="21"/>
          <w:lang w:val="en-US" w:eastAsia="zh-CN"/>
        </w:rPr>
      </w:pPr>
    </w:p>
    <w:p>
      <w:pPr>
        <w:pStyle w:val="a"/>
        <w:ind w:firstLine="560" w:firstLineChars="200"/>
        <w:rPr>
          <w:rFonts w:asciiTheme="minorEastAsia" w:eastAsiaTheme="minorEastAsia" w:hAnsiTheme="minorEastAsia" w:cstheme="minorEastAsia" w:hint="eastAsia"/>
          <w:b w:val="0"/>
          <w:bCs w:val="0"/>
          <w:color w:val="000000"/>
          <w:sz w:val="28"/>
          <w:szCs w:val="21"/>
          <w:lang w:val="en-US" w:eastAsia="zh-CN"/>
        </w:rPr>
      </w:pPr>
    </w:p>
    <w:p>
      <w:pPr>
        <w:pStyle w:val="a"/>
        <w:ind w:firstLine="560" w:firstLineChars="200"/>
        <w:rPr>
          <w:rFonts w:asciiTheme="minorEastAsia" w:eastAsiaTheme="minorEastAsia" w:hAnsiTheme="minorEastAsia" w:cstheme="minorEastAsia" w:hint="eastAsia"/>
          <w:b w:val="0"/>
          <w:bCs w:val="0"/>
          <w:sz w:val="28"/>
          <w:szCs w:val="21"/>
          <w:lang w:val="en-US" w:eastAsia="zh-CN"/>
        </w:rPr>
      </w:pPr>
      <w:r>
        <w:rPr>
          <w:rFonts w:asciiTheme="minorEastAsia" w:eastAsiaTheme="minorEastAsia" w:hAnsiTheme="minorEastAsia" w:cstheme="minorEastAsia" w:hint="eastAsia"/>
          <w:b w:val="0"/>
          <w:bCs w:val="0"/>
          <w:color w:val="000000"/>
          <w:sz w:val="28"/>
          <w:szCs w:val="21"/>
          <w:lang w:val="en-US" w:eastAsia="zh-CN"/>
        </w:rPr>
        <w:t>年    月    日</w:t>
      </w:r>
    </w:p>
    <w:p>
      <w:pPr>
        <w:pStyle w:val="BodyText"/>
        <w:ind w:left="0" w:firstLine="320" w:firstLineChars="100"/>
        <w:rPr>
          <w:b/>
          <w:bCs/>
          <w:sz w:val="32"/>
          <w:szCs w:val="32"/>
        </w:rPr>
      </w:pPr>
    </w:p>
    <w:p>
      <w:pPr>
        <w:pStyle w:val="BodyText"/>
        <w:ind w:left="0" w:firstLine="320" w:firstLineChars="100"/>
        <w:rPr>
          <w:rFonts w:hint="default"/>
          <w:b/>
          <w:bCs/>
          <w:sz w:val="32"/>
          <w:szCs w:val="32"/>
        </w:rPr>
      </w:pPr>
      <w:r>
        <w:rPr>
          <w:b/>
          <w:bCs/>
          <w:sz w:val="32"/>
          <w:szCs w:val="32"/>
        </w:rPr>
        <w:t>注：本表应放封面之后第一页</w:t>
      </w:r>
    </w:p>
    <w:p>
      <w:pPr>
        <w:pStyle w:val="BodyText"/>
        <w:ind w:left="0" w:firstLine="320" w:firstLineChars="100"/>
        <w:rPr>
          <w:rFonts w:hint="default"/>
          <w:b/>
          <w:bCs/>
          <w:sz w:val="32"/>
          <w:szCs w:val="32"/>
        </w:rPr>
      </w:pPr>
    </w:p>
    <w:p>
      <w:pPr>
        <w:pStyle w:val="BodyText"/>
        <w:ind w:left="0" w:firstLine="0" w:leftChars="0" w:firstLineChars="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a"/>
        <w:rPr>
          <w:rFonts w:hint="default"/>
        </w:rPr>
      </w:pPr>
    </w:p>
    <w:p>
      <w:pPr>
        <w:pStyle w:val="BodyText"/>
        <w:ind w:left="0" w:firstLine="320" w:firstLineChars="100"/>
        <w:rPr>
          <w:rFonts w:hint="default"/>
          <w:b/>
          <w:bCs/>
          <w:sz w:val="32"/>
          <w:szCs w:val="32"/>
        </w:rPr>
      </w:pPr>
    </w:p>
    <w:p>
      <w:pPr>
        <w:kinsoku w:val="0"/>
        <w:overflowPunct w:val="0"/>
        <w:spacing w:line="360" w:lineRule="auto"/>
        <w:jc w:val="center"/>
        <w:rPr>
          <w:rFonts w:hint="default"/>
          <w:sz w:val="44"/>
        </w:rPr>
      </w:pPr>
      <w:r>
        <w:rPr>
          <w:sz w:val="44"/>
        </w:rPr>
        <w:t>目录（投标人自行拟定目录及页码）</w:t>
      </w:r>
    </w:p>
    <w:p>
      <w:pPr>
        <w:pStyle w:val="BodyText"/>
        <w:rPr>
          <w:rFonts w:hint="default"/>
          <w:sz w:val="44"/>
        </w:rPr>
      </w:pPr>
    </w:p>
    <w:p>
      <w:pPr>
        <w:pStyle w:val="BodyText"/>
        <w:rPr>
          <w:rFonts w:hint="default"/>
          <w:sz w:val="44"/>
        </w:rPr>
      </w:pPr>
    </w:p>
    <w:p>
      <w:pPr>
        <w:pStyle w:val="BodyText"/>
        <w:rPr>
          <w:rFonts w:hint="default"/>
          <w:sz w:val="44"/>
        </w:rPr>
      </w:pPr>
    </w:p>
    <w:p>
      <w:pPr>
        <w:pStyle w:val="BodyText"/>
        <w:rPr>
          <w:rFonts w:hint="default"/>
          <w:sz w:val="44"/>
        </w:rPr>
      </w:pPr>
    </w:p>
    <w:p>
      <w:pPr>
        <w:pStyle w:val="BodyText"/>
        <w:rPr>
          <w:rFonts w:hint="default"/>
          <w:sz w:val="44"/>
        </w:rPr>
      </w:pPr>
    </w:p>
    <w:p>
      <w:pPr>
        <w:pStyle w:val="BodyText"/>
        <w:rPr>
          <w:rFonts w:hint="default"/>
          <w:sz w:val="44"/>
        </w:rPr>
      </w:pPr>
    </w:p>
    <w:p>
      <w:pPr>
        <w:pStyle w:val="BodyText"/>
        <w:rPr>
          <w:rFonts w:hint="default"/>
          <w:sz w:val="44"/>
        </w:rPr>
      </w:pPr>
    </w:p>
    <w:p>
      <w:pPr>
        <w:pStyle w:val="BodyText"/>
        <w:rPr>
          <w:rFonts w:hint="default"/>
          <w:sz w:val="44"/>
        </w:rPr>
      </w:pPr>
    </w:p>
    <w:p>
      <w:pPr>
        <w:pStyle w:val="BodyText"/>
        <w:rPr>
          <w:rFonts w:hint="default"/>
          <w:sz w:val="44"/>
        </w:rPr>
      </w:pPr>
    </w:p>
    <w:p>
      <w:pPr>
        <w:pStyle w:val="BodyText"/>
        <w:rPr>
          <w:rFonts w:hint="default"/>
          <w:sz w:val="44"/>
        </w:rPr>
      </w:pPr>
    </w:p>
    <w:p>
      <w:pPr>
        <w:pStyle w:val="BodyText"/>
        <w:rPr>
          <w:rFonts w:hint="default"/>
          <w:sz w:val="44"/>
        </w:rPr>
      </w:pPr>
    </w:p>
    <w:p>
      <w:pPr>
        <w:pStyle w:val="BodyText"/>
        <w:ind w:left="0"/>
        <w:rPr>
          <w:rFonts w:hint="default"/>
          <w:sz w:val="44"/>
        </w:rPr>
      </w:pPr>
    </w:p>
    <w:p>
      <w:pPr>
        <w:pStyle w:val="a"/>
        <w:rPr>
          <w:rFonts w:hint="default"/>
        </w:rPr>
      </w:pPr>
    </w:p>
    <w:p>
      <w:pPr>
        <w:numPr>
          <w:ilvl w:val="0"/>
          <w:numId w:val="0"/>
        </w:numPr>
        <w:kinsoku w:val="0"/>
        <w:overflowPunct w:val="0"/>
        <w:spacing w:before="5"/>
        <w:rPr>
          <w:rFonts w:ascii="楷体_GB2312" w:eastAsia="楷体_GB2312" w:hAnsi="楷体_GB2312"/>
          <w:b/>
          <w:spacing w:val="1"/>
          <w:sz w:val="32"/>
        </w:rPr>
      </w:pPr>
      <w:bookmarkStart w:id="18" w:name="_Toc5854"/>
      <w:bookmarkStart w:id="19" w:name="_Toc11598"/>
      <w:r>
        <w:rPr>
          <w:rFonts w:ascii="楷体_GB2312" w:eastAsia="楷体_GB2312" w:hAnsi="楷体_GB2312" w:hint="eastAsia"/>
          <w:b/>
          <w:spacing w:val="1"/>
          <w:sz w:val="32"/>
          <w:lang w:val="en-US" w:eastAsia="zh-CN"/>
        </w:rPr>
        <w:t>一、</w:t>
      </w:r>
      <w:r>
        <w:rPr>
          <w:rFonts w:ascii="楷体_GB2312" w:eastAsia="楷体_GB2312" w:hAnsi="楷体_GB2312"/>
          <w:b/>
          <w:spacing w:val="1"/>
          <w:sz w:val="32"/>
        </w:rPr>
        <w:t>资格审查文件部分</w:t>
      </w:r>
      <w:bookmarkEnd w:id="18"/>
      <w:bookmarkEnd w:id="19"/>
    </w:p>
    <w:p>
      <w:pPr>
        <w:pStyle w:val="BodyText"/>
        <w:numPr>
          <w:ilvl w:val="0"/>
          <w:numId w:val="0"/>
        </w:numPr>
        <w:rPr>
          <w:rFonts w:eastAsia="宋体" w:hint="default"/>
          <w:lang w:val="en-US" w:eastAsia="zh-CN"/>
        </w:rPr>
      </w:pPr>
      <w:r>
        <w:rPr>
          <w:rFonts w:hint="eastAsia"/>
          <w:lang w:val="en-US" w:eastAsia="zh-CN"/>
        </w:rPr>
        <w:t>1、公司简介：</w:t>
      </w:r>
    </w:p>
    <w:tbl>
      <w:tblPr>
        <w:tblStyle w:val="TableNormal"/>
        <w:tblW w:w="0" w:type="auto"/>
        <w:tblInd w:w="193" w:type="dxa"/>
        <w:tblLayout w:type="fixed"/>
        <w:tblCellMar>
          <w:top w:w="0" w:type="dxa"/>
          <w:left w:w="108" w:type="dxa"/>
          <w:bottom w:w="0" w:type="dxa"/>
          <w:right w:w="108" w:type="dxa"/>
        </w:tblCellMar>
      </w:tblPr>
      <w:tblGrid>
        <w:gridCol w:w="2431"/>
        <w:gridCol w:w="1381"/>
        <w:gridCol w:w="1236"/>
        <w:gridCol w:w="223"/>
        <w:gridCol w:w="1347"/>
        <w:gridCol w:w="609"/>
        <w:gridCol w:w="737"/>
        <w:gridCol w:w="1681"/>
      </w:tblGrid>
      <w:tr>
        <w:tblPrEx>
          <w:tblW w:w="0" w:type="auto"/>
          <w:tblInd w:w="193" w:type="dxa"/>
          <w:tblLayout w:type="fixed"/>
          <w:tblCellMar>
            <w:top w:w="0" w:type="dxa"/>
            <w:left w:w="108" w:type="dxa"/>
            <w:bottom w:w="0" w:type="dxa"/>
            <w:right w:w="108" w:type="dxa"/>
          </w:tblCellMar>
        </w:tblPrEx>
        <w:trPr>
          <w:trHeight w:hRule="exact" w:val="457"/>
        </w:trPr>
        <w:tc>
          <w:tcPr>
            <w:tcW w:w="9645" w:type="dxa"/>
            <w:gridSpan w:val="8"/>
            <w:tcBorders>
              <w:top w:val="single" w:sz="12" w:space="0" w:color="000000"/>
              <w:left w:val="single" w:sz="12" w:space="0" w:color="000000"/>
              <w:bottom w:val="single" w:sz="2" w:space="0" w:color="000000"/>
              <w:right w:val="single" w:sz="12" w:space="0" w:color="000000"/>
            </w:tcBorders>
            <w:shd w:val="clear" w:color="auto" w:fill="auto"/>
          </w:tcPr>
          <w:p>
            <w:pPr>
              <w:pStyle w:val="TableParagraph"/>
              <w:kinsoku w:val="0"/>
              <w:overflowPunct w:val="0"/>
              <w:spacing w:before="75"/>
              <w:ind w:left="3527" w:right="3527"/>
              <w:jc w:val="center"/>
              <w:rPr>
                <w:rFonts w:eastAsia="Times New Roman" w:hint="default"/>
              </w:rPr>
            </w:pPr>
            <w:r>
              <w:rPr>
                <w:rFonts w:ascii="宋体" w:hAnsi="宋体"/>
              </w:rPr>
              <w:t>1、单位简况</w:t>
            </w:r>
          </w:p>
        </w:tc>
      </w:tr>
      <w:tr>
        <w:tblPrEx>
          <w:tblW w:w="0" w:type="auto"/>
          <w:tblInd w:w="193" w:type="dxa"/>
          <w:tblLayout w:type="fixed"/>
          <w:tblCellMar>
            <w:top w:w="0" w:type="dxa"/>
            <w:left w:w="108" w:type="dxa"/>
            <w:bottom w:w="0" w:type="dxa"/>
            <w:right w:w="108" w:type="dxa"/>
          </w:tblCellMar>
        </w:tblPrEx>
        <w:trPr>
          <w:trHeight w:hRule="exact" w:val="444"/>
        </w:trPr>
        <w:tc>
          <w:tcPr>
            <w:tcW w:w="2431" w:type="dxa"/>
            <w:tcBorders>
              <w:top w:val="single" w:sz="2" w:space="0" w:color="000000"/>
              <w:left w:val="single" w:sz="12" w:space="0" w:color="000000"/>
              <w:bottom w:val="single" w:sz="2" w:space="0" w:color="000000"/>
              <w:right w:val="single" w:sz="2" w:space="0" w:color="000000"/>
            </w:tcBorders>
            <w:shd w:val="clear" w:color="auto" w:fill="auto"/>
          </w:tcPr>
          <w:p>
            <w:pPr>
              <w:pStyle w:val="TableParagraph"/>
              <w:kinsoku w:val="0"/>
              <w:overflowPunct w:val="0"/>
              <w:spacing w:before="75"/>
              <w:ind w:left="719"/>
              <w:rPr>
                <w:rFonts w:eastAsia="Times New Roman" w:hint="default"/>
              </w:rPr>
            </w:pPr>
            <w:r>
              <w:rPr>
                <w:rFonts w:ascii="宋体" w:hAnsi="宋体"/>
              </w:rPr>
              <w:t>单位名称</w:t>
            </w:r>
          </w:p>
        </w:tc>
        <w:tc>
          <w:tcPr>
            <w:tcW w:w="2617" w:type="dxa"/>
            <w:gridSpan w:val="2"/>
            <w:tcBorders>
              <w:top w:val="single" w:sz="2"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2179" w:type="dxa"/>
            <w:gridSpan w:val="3"/>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604"/>
              <w:rPr>
                <w:rFonts w:eastAsia="Times New Roman" w:hint="default"/>
              </w:rPr>
            </w:pPr>
            <w:r>
              <w:rPr>
                <w:rFonts w:ascii="宋体" w:hAnsi="宋体"/>
              </w:rPr>
              <w:t>联 系 人</w:t>
            </w:r>
          </w:p>
        </w:tc>
        <w:tc>
          <w:tcPr>
            <w:tcW w:w="2418" w:type="dxa"/>
            <w:gridSpan w:val="2"/>
            <w:tcBorders>
              <w:top w:val="single" w:sz="2" w:space="0" w:color="000000"/>
              <w:left w:val="single" w:sz="2" w:space="0" w:color="000000"/>
              <w:bottom w:val="single" w:sz="2" w:space="0" w:color="000000"/>
              <w:right w:val="single" w:sz="12" w:space="0" w:color="000000"/>
            </w:tcBorders>
            <w:shd w:val="clear" w:color="auto" w:fill="auto"/>
          </w:tcPr>
          <w:p>
            <w:pPr>
              <w:rPr>
                <w:rFonts w:eastAsia="Times New Roman" w:hint="default"/>
              </w:rPr>
            </w:pPr>
          </w:p>
        </w:tc>
      </w:tr>
      <w:tr>
        <w:tblPrEx>
          <w:tblW w:w="0" w:type="auto"/>
          <w:tblInd w:w="193" w:type="dxa"/>
          <w:tblLayout w:type="fixed"/>
          <w:tblCellMar>
            <w:top w:w="0" w:type="dxa"/>
            <w:left w:w="108" w:type="dxa"/>
            <w:bottom w:w="0" w:type="dxa"/>
            <w:right w:w="108" w:type="dxa"/>
          </w:tblCellMar>
        </w:tblPrEx>
        <w:trPr>
          <w:trHeight w:hRule="exact" w:val="446"/>
        </w:trPr>
        <w:tc>
          <w:tcPr>
            <w:tcW w:w="2431" w:type="dxa"/>
            <w:tcBorders>
              <w:top w:val="single" w:sz="2" w:space="0" w:color="000000"/>
              <w:left w:val="single" w:sz="12" w:space="0" w:color="000000"/>
              <w:bottom w:val="single" w:sz="2" w:space="0" w:color="000000"/>
              <w:right w:val="single" w:sz="2" w:space="0" w:color="000000"/>
            </w:tcBorders>
            <w:shd w:val="clear" w:color="auto" w:fill="auto"/>
          </w:tcPr>
          <w:p>
            <w:pPr>
              <w:pStyle w:val="TableParagraph"/>
              <w:kinsoku w:val="0"/>
              <w:overflowPunct w:val="0"/>
              <w:spacing w:before="75"/>
              <w:ind w:left="719"/>
              <w:rPr>
                <w:rFonts w:eastAsia="Times New Roman" w:hint="default"/>
              </w:rPr>
            </w:pPr>
            <w:r>
              <w:rPr>
                <w:rFonts w:ascii="宋体" w:hAnsi="宋体"/>
              </w:rPr>
              <w:t>通讯地址</w:t>
            </w:r>
          </w:p>
        </w:tc>
        <w:tc>
          <w:tcPr>
            <w:tcW w:w="2617" w:type="dxa"/>
            <w:gridSpan w:val="2"/>
            <w:tcBorders>
              <w:top w:val="single" w:sz="2"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2179" w:type="dxa"/>
            <w:gridSpan w:val="3"/>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604"/>
              <w:rPr>
                <w:rFonts w:eastAsia="Times New Roman" w:hint="default"/>
              </w:rPr>
            </w:pPr>
            <w:r>
              <w:rPr>
                <w:rFonts w:ascii="宋体" w:hAnsi="宋体"/>
              </w:rPr>
              <w:t>联系电话</w:t>
            </w:r>
          </w:p>
        </w:tc>
        <w:tc>
          <w:tcPr>
            <w:tcW w:w="2418" w:type="dxa"/>
            <w:gridSpan w:val="2"/>
            <w:tcBorders>
              <w:top w:val="single" w:sz="2" w:space="0" w:color="000000"/>
              <w:left w:val="single" w:sz="2" w:space="0" w:color="000000"/>
              <w:bottom w:val="single" w:sz="2" w:space="0" w:color="000000"/>
              <w:right w:val="single" w:sz="12" w:space="0" w:color="000000"/>
            </w:tcBorders>
            <w:shd w:val="clear" w:color="auto" w:fill="auto"/>
          </w:tcPr>
          <w:p>
            <w:pPr>
              <w:rPr>
                <w:rFonts w:eastAsia="Times New Roman" w:hint="default"/>
              </w:rPr>
            </w:pPr>
          </w:p>
        </w:tc>
      </w:tr>
      <w:tr>
        <w:tblPrEx>
          <w:tblW w:w="0" w:type="auto"/>
          <w:tblInd w:w="193" w:type="dxa"/>
          <w:tblLayout w:type="fixed"/>
          <w:tblCellMar>
            <w:top w:w="0" w:type="dxa"/>
            <w:left w:w="108" w:type="dxa"/>
            <w:bottom w:w="0" w:type="dxa"/>
            <w:right w:w="108" w:type="dxa"/>
          </w:tblCellMar>
        </w:tblPrEx>
        <w:trPr>
          <w:trHeight w:hRule="exact" w:val="444"/>
        </w:trPr>
        <w:tc>
          <w:tcPr>
            <w:tcW w:w="2431" w:type="dxa"/>
            <w:tcBorders>
              <w:top w:val="single" w:sz="2" w:space="0" w:color="000000"/>
              <w:left w:val="single" w:sz="12" w:space="0" w:color="000000"/>
              <w:bottom w:val="single" w:sz="2" w:space="0" w:color="000000"/>
              <w:right w:val="single" w:sz="2" w:space="0" w:color="000000"/>
            </w:tcBorders>
            <w:shd w:val="clear" w:color="auto" w:fill="auto"/>
          </w:tcPr>
          <w:p>
            <w:pPr>
              <w:pStyle w:val="TableParagraph"/>
              <w:tabs>
                <w:tab w:val="left" w:pos="1439"/>
              </w:tabs>
              <w:kinsoku w:val="0"/>
              <w:overflowPunct w:val="0"/>
              <w:spacing w:before="75"/>
              <w:ind w:left="719"/>
              <w:rPr>
                <w:rFonts w:eastAsia="Times New Roman" w:hint="default"/>
              </w:rPr>
            </w:pPr>
            <w:r>
              <w:rPr>
                <w:rFonts w:ascii="宋体" w:hAnsi="宋体"/>
              </w:rPr>
              <w:t>邮</w:t>
            </w:r>
            <w:r>
              <w:tab/>
            </w:r>
            <w:r>
              <w:rPr>
                <w:rFonts w:ascii="宋体" w:hAnsi="宋体"/>
              </w:rPr>
              <w:t>编</w:t>
            </w:r>
          </w:p>
        </w:tc>
        <w:tc>
          <w:tcPr>
            <w:tcW w:w="2617" w:type="dxa"/>
            <w:gridSpan w:val="2"/>
            <w:tcBorders>
              <w:top w:val="single" w:sz="2"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2179" w:type="dxa"/>
            <w:gridSpan w:val="3"/>
            <w:tcBorders>
              <w:top w:val="single" w:sz="2" w:space="0" w:color="000000"/>
              <w:left w:val="single" w:sz="2" w:space="0" w:color="000000"/>
              <w:bottom w:val="single" w:sz="2" w:space="0" w:color="000000"/>
              <w:right w:val="single" w:sz="2" w:space="0" w:color="000000"/>
            </w:tcBorders>
            <w:shd w:val="clear" w:color="auto" w:fill="auto"/>
          </w:tcPr>
          <w:p>
            <w:pPr>
              <w:pStyle w:val="TableParagraph"/>
              <w:tabs>
                <w:tab w:val="left" w:pos="1324"/>
              </w:tabs>
              <w:kinsoku w:val="0"/>
              <w:overflowPunct w:val="0"/>
              <w:spacing w:before="75"/>
              <w:ind w:left="604"/>
              <w:rPr>
                <w:rFonts w:eastAsia="Times New Roman" w:hint="default"/>
              </w:rPr>
            </w:pPr>
            <w:r>
              <w:rPr>
                <w:rFonts w:ascii="宋体" w:hAnsi="宋体"/>
              </w:rPr>
              <w:t>传</w:t>
            </w:r>
            <w:r>
              <w:tab/>
            </w:r>
            <w:r>
              <w:rPr>
                <w:rFonts w:ascii="宋体" w:hAnsi="宋体"/>
              </w:rPr>
              <w:t>真</w:t>
            </w:r>
          </w:p>
        </w:tc>
        <w:tc>
          <w:tcPr>
            <w:tcW w:w="2418" w:type="dxa"/>
            <w:gridSpan w:val="2"/>
            <w:tcBorders>
              <w:top w:val="single" w:sz="2" w:space="0" w:color="000000"/>
              <w:left w:val="single" w:sz="2" w:space="0" w:color="000000"/>
              <w:bottom w:val="single" w:sz="2" w:space="0" w:color="000000"/>
              <w:right w:val="single" w:sz="12" w:space="0" w:color="000000"/>
            </w:tcBorders>
            <w:shd w:val="clear" w:color="auto" w:fill="auto"/>
          </w:tcPr>
          <w:p>
            <w:pPr>
              <w:rPr>
                <w:rFonts w:eastAsia="Times New Roman" w:hint="default"/>
              </w:rPr>
            </w:pPr>
          </w:p>
        </w:tc>
      </w:tr>
      <w:tr>
        <w:tblPrEx>
          <w:tblW w:w="0" w:type="auto"/>
          <w:tblInd w:w="193" w:type="dxa"/>
          <w:tblLayout w:type="fixed"/>
          <w:tblCellMar>
            <w:top w:w="0" w:type="dxa"/>
            <w:left w:w="108" w:type="dxa"/>
            <w:bottom w:w="0" w:type="dxa"/>
            <w:right w:w="108" w:type="dxa"/>
          </w:tblCellMar>
        </w:tblPrEx>
        <w:trPr>
          <w:trHeight w:hRule="exact" w:val="446"/>
        </w:trPr>
        <w:tc>
          <w:tcPr>
            <w:tcW w:w="2431" w:type="dxa"/>
            <w:tcBorders>
              <w:top w:val="single" w:sz="2" w:space="0" w:color="000000"/>
              <w:left w:val="single" w:sz="12" w:space="0" w:color="000000"/>
              <w:bottom w:val="single" w:sz="2" w:space="0" w:color="000000"/>
              <w:right w:val="single" w:sz="2" w:space="0" w:color="000000"/>
            </w:tcBorders>
            <w:shd w:val="clear" w:color="auto" w:fill="auto"/>
          </w:tcPr>
          <w:p>
            <w:pPr>
              <w:pStyle w:val="TableParagraph"/>
              <w:kinsoku w:val="0"/>
              <w:overflowPunct w:val="0"/>
              <w:spacing w:before="75"/>
              <w:ind w:left="359"/>
              <w:rPr>
                <w:rFonts w:eastAsia="Times New Roman" w:hint="default"/>
              </w:rPr>
            </w:pPr>
            <w:r>
              <w:rPr>
                <w:rFonts w:ascii="宋体" w:hAnsi="宋体"/>
              </w:rPr>
              <w:t>营业执照注册地</w:t>
            </w:r>
          </w:p>
        </w:tc>
        <w:tc>
          <w:tcPr>
            <w:tcW w:w="2617" w:type="dxa"/>
            <w:gridSpan w:val="2"/>
            <w:tcBorders>
              <w:top w:val="single" w:sz="2"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2179" w:type="dxa"/>
            <w:gridSpan w:val="3"/>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243"/>
              <w:rPr>
                <w:rFonts w:eastAsia="Times New Roman" w:hint="default"/>
              </w:rPr>
            </w:pPr>
            <w:r>
              <w:rPr>
                <w:rFonts w:ascii="宋体" w:hAnsi="宋体"/>
              </w:rPr>
              <w:t>营业执照注册号</w:t>
            </w:r>
          </w:p>
        </w:tc>
        <w:tc>
          <w:tcPr>
            <w:tcW w:w="2418" w:type="dxa"/>
            <w:gridSpan w:val="2"/>
            <w:tcBorders>
              <w:top w:val="single" w:sz="2" w:space="0" w:color="000000"/>
              <w:left w:val="single" w:sz="2" w:space="0" w:color="000000"/>
              <w:bottom w:val="single" w:sz="2" w:space="0" w:color="000000"/>
              <w:right w:val="single" w:sz="12" w:space="0" w:color="000000"/>
            </w:tcBorders>
            <w:shd w:val="clear" w:color="auto" w:fill="auto"/>
          </w:tcPr>
          <w:p>
            <w:pPr>
              <w:rPr>
                <w:rFonts w:eastAsia="Times New Roman" w:hint="default"/>
              </w:rPr>
            </w:pPr>
          </w:p>
        </w:tc>
      </w:tr>
      <w:tr>
        <w:tblPrEx>
          <w:tblW w:w="0" w:type="auto"/>
          <w:tblInd w:w="193" w:type="dxa"/>
          <w:tblLayout w:type="fixed"/>
          <w:tblCellMar>
            <w:top w:w="0" w:type="dxa"/>
            <w:left w:w="108" w:type="dxa"/>
            <w:bottom w:w="0" w:type="dxa"/>
            <w:right w:w="108" w:type="dxa"/>
          </w:tblCellMar>
        </w:tblPrEx>
        <w:trPr>
          <w:trHeight w:hRule="exact" w:val="444"/>
        </w:trPr>
        <w:tc>
          <w:tcPr>
            <w:tcW w:w="2431" w:type="dxa"/>
            <w:tcBorders>
              <w:top w:val="single" w:sz="2" w:space="0" w:color="000000"/>
              <w:left w:val="single" w:sz="12" w:space="0" w:color="000000"/>
              <w:bottom w:val="single" w:sz="2" w:space="0" w:color="000000"/>
              <w:right w:val="single" w:sz="2" w:space="0" w:color="000000"/>
            </w:tcBorders>
            <w:shd w:val="clear" w:color="auto" w:fill="auto"/>
          </w:tcPr>
          <w:p>
            <w:pPr>
              <w:pStyle w:val="TableParagraph"/>
              <w:kinsoku w:val="0"/>
              <w:overflowPunct w:val="0"/>
              <w:spacing w:before="75"/>
              <w:ind w:left="719"/>
              <w:rPr>
                <w:rFonts w:eastAsia="Times New Roman" w:hint="default"/>
              </w:rPr>
            </w:pPr>
            <w:r>
              <w:rPr>
                <w:rFonts w:ascii="宋体" w:hAnsi="宋体"/>
              </w:rPr>
              <w:t>注册资金</w:t>
            </w:r>
          </w:p>
        </w:tc>
        <w:tc>
          <w:tcPr>
            <w:tcW w:w="2617" w:type="dxa"/>
            <w:gridSpan w:val="2"/>
            <w:tcBorders>
              <w:top w:val="single" w:sz="2"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2179" w:type="dxa"/>
            <w:gridSpan w:val="3"/>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604"/>
              <w:rPr>
                <w:rFonts w:eastAsia="Times New Roman" w:hint="default"/>
              </w:rPr>
            </w:pPr>
            <w:r>
              <w:rPr>
                <w:rFonts w:ascii="宋体" w:hAnsi="宋体"/>
              </w:rPr>
              <w:t>经济性质</w:t>
            </w:r>
          </w:p>
        </w:tc>
        <w:tc>
          <w:tcPr>
            <w:tcW w:w="2418" w:type="dxa"/>
            <w:gridSpan w:val="2"/>
            <w:tcBorders>
              <w:top w:val="single" w:sz="2" w:space="0" w:color="000000"/>
              <w:left w:val="single" w:sz="2" w:space="0" w:color="000000"/>
              <w:bottom w:val="single" w:sz="2" w:space="0" w:color="000000"/>
              <w:right w:val="single" w:sz="12" w:space="0" w:color="000000"/>
            </w:tcBorders>
            <w:shd w:val="clear" w:color="auto" w:fill="auto"/>
          </w:tcPr>
          <w:p>
            <w:pPr>
              <w:rPr>
                <w:rFonts w:eastAsia="Times New Roman" w:hint="default"/>
              </w:rPr>
            </w:pPr>
          </w:p>
        </w:tc>
      </w:tr>
      <w:tr>
        <w:tblPrEx>
          <w:tblW w:w="0" w:type="auto"/>
          <w:tblInd w:w="193" w:type="dxa"/>
          <w:tblLayout w:type="fixed"/>
          <w:tblCellMar>
            <w:top w:w="0" w:type="dxa"/>
            <w:left w:w="108" w:type="dxa"/>
            <w:bottom w:w="0" w:type="dxa"/>
            <w:right w:w="108" w:type="dxa"/>
          </w:tblCellMar>
        </w:tblPrEx>
        <w:trPr>
          <w:trHeight w:hRule="exact" w:val="445"/>
        </w:trPr>
        <w:tc>
          <w:tcPr>
            <w:tcW w:w="9645" w:type="dxa"/>
            <w:gridSpan w:val="8"/>
            <w:tcBorders>
              <w:top w:val="single" w:sz="2" w:space="0" w:color="000000"/>
              <w:left w:val="single" w:sz="12" w:space="0" w:color="000000"/>
              <w:bottom w:val="single" w:sz="2" w:space="0" w:color="000000"/>
              <w:right w:val="single" w:sz="12" w:space="0" w:color="000000"/>
            </w:tcBorders>
            <w:shd w:val="clear" w:color="auto" w:fill="auto"/>
          </w:tcPr>
          <w:p>
            <w:pPr>
              <w:pStyle w:val="TableParagraph"/>
              <w:kinsoku w:val="0"/>
              <w:overflowPunct w:val="0"/>
              <w:spacing w:before="76"/>
              <w:ind w:right="3527"/>
              <w:jc w:val="center"/>
              <w:rPr>
                <w:rFonts w:eastAsia="Times New Roman" w:hint="default"/>
              </w:rPr>
            </w:pPr>
            <w:r>
              <w:rPr>
                <w:rFonts w:ascii="宋体" w:hAnsi="宋体"/>
              </w:rPr>
              <w:t xml:space="preserve">                           2、公司经营及资金状况</w:t>
            </w:r>
          </w:p>
        </w:tc>
      </w:tr>
      <w:tr>
        <w:tblPrEx>
          <w:tblW w:w="0" w:type="auto"/>
          <w:tblInd w:w="193" w:type="dxa"/>
          <w:tblLayout w:type="fixed"/>
          <w:tblCellMar>
            <w:top w:w="0" w:type="dxa"/>
            <w:left w:w="108" w:type="dxa"/>
            <w:bottom w:w="0" w:type="dxa"/>
            <w:right w:w="108" w:type="dxa"/>
          </w:tblCellMar>
        </w:tblPrEx>
        <w:trPr>
          <w:trHeight w:hRule="exact" w:val="446"/>
        </w:trPr>
        <w:tc>
          <w:tcPr>
            <w:tcW w:w="2431" w:type="dxa"/>
            <w:tcBorders>
              <w:top w:val="single" w:sz="2" w:space="0" w:color="000000"/>
              <w:left w:val="single" w:sz="12" w:space="0" w:color="000000"/>
              <w:bottom w:val="single" w:sz="2" w:space="0" w:color="000000"/>
              <w:right w:val="single" w:sz="2" w:space="0" w:color="000000"/>
            </w:tcBorders>
            <w:shd w:val="clear" w:color="auto" w:fill="auto"/>
          </w:tcPr>
          <w:p>
            <w:pPr>
              <w:pStyle w:val="TableParagraph"/>
              <w:kinsoku w:val="0"/>
              <w:overflowPunct w:val="0"/>
              <w:spacing w:before="75"/>
              <w:ind w:left="359"/>
              <w:rPr>
                <w:rFonts w:eastAsia="Times New Roman" w:hint="default"/>
              </w:rPr>
            </w:pPr>
            <w:r>
              <w:rPr>
                <w:rFonts w:ascii="宋体" w:hAnsi="宋体"/>
              </w:rPr>
              <w:t>开户银行及地址</w:t>
            </w:r>
          </w:p>
        </w:tc>
        <w:tc>
          <w:tcPr>
            <w:tcW w:w="2617" w:type="dxa"/>
            <w:gridSpan w:val="2"/>
            <w:tcBorders>
              <w:top w:val="single" w:sz="2"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2179" w:type="dxa"/>
            <w:gridSpan w:val="3"/>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604"/>
              <w:rPr>
                <w:rFonts w:eastAsia="Times New Roman" w:hint="default"/>
              </w:rPr>
            </w:pPr>
            <w:r>
              <w:rPr>
                <w:rFonts w:ascii="宋体" w:hAnsi="宋体"/>
              </w:rPr>
              <w:t>开户账号</w:t>
            </w:r>
          </w:p>
        </w:tc>
        <w:tc>
          <w:tcPr>
            <w:tcW w:w="2418" w:type="dxa"/>
            <w:gridSpan w:val="2"/>
            <w:tcBorders>
              <w:top w:val="single" w:sz="2" w:space="0" w:color="000000"/>
              <w:left w:val="single" w:sz="2" w:space="0" w:color="000000"/>
              <w:bottom w:val="single" w:sz="2" w:space="0" w:color="000000"/>
              <w:right w:val="single" w:sz="12" w:space="0" w:color="000000"/>
            </w:tcBorders>
            <w:shd w:val="clear" w:color="auto" w:fill="auto"/>
          </w:tcPr>
          <w:p>
            <w:pPr>
              <w:rPr>
                <w:rFonts w:eastAsia="Times New Roman" w:hint="default"/>
              </w:rPr>
            </w:pPr>
          </w:p>
        </w:tc>
      </w:tr>
      <w:tr>
        <w:tblPrEx>
          <w:tblW w:w="0" w:type="auto"/>
          <w:tblInd w:w="193" w:type="dxa"/>
          <w:tblLayout w:type="fixed"/>
          <w:tblCellMar>
            <w:top w:w="0" w:type="dxa"/>
            <w:left w:w="108" w:type="dxa"/>
            <w:bottom w:w="0" w:type="dxa"/>
            <w:right w:w="108" w:type="dxa"/>
          </w:tblCellMar>
        </w:tblPrEx>
        <w:trPr>
          <w:trHeight w:hRule="exact" w:val="444"/>
        </w:trPr>
        <w:tc>
          <w:tcPr>
            <w:tcW w:w="2431" w:type="dxa"/>
            <w:tcBorders>
              <w:top w:val="single" w:sz="2" w:space="0" w:color="000000"/>
              <w:left w:val="single" w:sz="12" w:space="0" w:color="000000"/>
              <w:bottom w:val="single" w:sz="2" w:space="0" w:color="000000"/>
              <w:right w:val="single" w:sz="2" w:space="0" w:color="000000"/>
            </w:tcBorders>
            <w:shd w:val="clear" w:color="auto" w:fill="auto"/>
          </w:tcPr>
          <w:p>
            <w:pPr>
              <w:pStyle w:val="TableParagraph"/>
              <w:kinsoku w:val="0"/>
              <w:overflowPunct w:val="0"/>
              <w:spacing w:before="75"/>
              <w:ind w:left="719"/>
              <w:rPr>
                <w:rFonts w:eastAsia="Times New Roman" w:hint="default"/>
              </w:rPr>
            </w:pPr>
            <w:r>
              <w:rPr>
                <w:rFonts w:ascii="宋体" w:hAnsi="宋体"/>
              </w:rPr>
              <w:t>资产总额</w:t>
            </w:r>
          </w:p>
        </w:tc>
        <w:tc>
          <w:tcPr>
            <w:tcW w:w="2617" w:type="dxa"/>
            <w:gridSpan w:val="2"/>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right="1045"/>
              <w:jc w:val="both"/>
              <w:rPr>
                <w:rFonts w:eastAsia="Times New Roman" w:hint="default"/>
              </w:rPr>
            </w:pPr>
            <w:r>
              <w:rPr>
                <w:rFonts w:ascii="宋体" w:hAnsi="宋体"/>
              </w:rPr>
              <w:t>万元</w:t>
            </w:r>
          </w:p>
        </w:tc>
        <w:tc>
          <w:tcPr>
            <w:tcW w:w="2179" w:type="dxa"/>
            <w:gridSpan w:val="3"/>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604"/>
              <w:rPr>
                <w:rFonts w:eastAsia="Times New Roman" w:hint="default"/>
              </w:rPr>
            </w:pPr>
            <w:r>
              <w:rPr>
                <w:rFonts w:ascii="宋体" w:hAnsi="宋体"/>
              </w:rPr>
              <w:t>固定资产</w:t>
            </w:r>
          </w:p>
        </w:tc>
        <w:tc>
          <w:tcPr>
            <w:tcW w:w="2418" w:type="dxa"/>
            <w:gridSpan w:val="2"/>
            <w:tcBorders>
              <w:top w:val="single" w:sz="2" w:space="0" w:color="000000"/>
              <w:left w:val="single" w:sz="2" w:space="0" w:color="000000"/>
              <w:bottom w:val="single" w:sz="2" w:space="0" w:color="000000"/>
              <w:right w:val="single" w:sz="12" w:space="0" w:color="000000"/>
            </w:tcBorders>
            <w:shd w:val="clear" w:color="auto" w:fill="auto"/>
          </w:tcPr>
          <w:p>
            <w:pPr>
              <w:pStyle w:val="TableParagraph"/>
              <w:kinsoku w:val="0"/>
              <w:overflowPunct w:val="0"/>
              <w:spacing w:before="75"/>
              <w:ind w:left="9"/>
              <w:jc w:val="center"/>
              <w:rPr>
                <w:rFonts w:eastAsia="Times New Roman" w:hint="default"/>
              </w:rPr>
            </w:pPr>
            <w:r>
              <w:rPr>
                <w:rFonts w:ascii="宋体" w:hAnsi="宋体"/>
              </w:rPr>
              <w:t>万元</w:t>
            </w:r>
          </w:p>
        </w:tc>
      </w:tr>
      <w:tr>
        <w:tblPrEx>
          <w:tblW w:w="0" w:type="auto"/>
          <w:tblInd w:w="193" w:type="dxa"/>
          <w:tblLayout w:type="fixed"/>
          <w:tblCellMar>
            <w:top w:w="0" w:type="dxa"/>
            <w:left w:w="108" w:type="dxa"/>
            <w:bottom w:w="0" w:type="dxa"/>
            <w:right w:w="108" w:type="dxa"/>
          </w:tblCellMar>
        </w:tblPrEx>
        <w:trPr>
          <w:trHeight w:hRule="exact" w:val="446"/>
        </w:trPr>
        <w:tc>
          <w:tcPr>
            <w:tcW w:w="2431" w:type="dxa"/>
            <w:vMerge w:val="restart"/>
            <w:tcBorders>
              <w:top w:val="single" w:sz="2" w:space="0" w:color="000000"/>
              <w:left w:val="single" w:sz="12" w:space="0" w:color="000000"/>
              <w:bottom w:val="single" w:sz="2" w:space="0" w:color="000000"/>
              <w:right w:val="single" w:sz="2" w:space="0" w:color="000000"/>
            </w:tcBorders>
            <w:shd w:val="clear" w:color="auto" w:fill="auto"/>
          </w:tcPr>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before="6" w:line="280" w:lineRule="exact"/>
              <w:rPr>
                <w:rFonts w:eastAsia="Times New Roman" w:hint="default"/>
                <w:sz w:val="28"/>
              </w:rPr>
            </w:pPr>
          </w:p>
          <w:p>
            <w:pPr>
              <w:pStyle w:val="TableParagraph"/>
              <w:kinsoku w:val="0"/>
              <w:overflowPunct w:val="0"/>
              <w:spacing w:line="341" w:lineRule="auto"/>
              <w:ind w:left="1079" w:right="133" w:hanging="961"/>
              <w:rPr>
                <w:rFonts w:eastAsia="Times New Roman" w:hint="default"/>
              </w:rPr>
            </w:pPr>
            <w:r>
              <w:rPr>
                <w:rFonts w:ascii="宋体" w:hAnsi="宋体"/>
              </w:rPr>
              <w:t>近两年企业收入数据 表</w:t>
            </w:r>
          </w:p>
        </w:tc>
        <w:tc>
          <w:tcPr>
            <w:tcW w:w="2617" w:type="dxa"/>
            <w:gridSpan w:val="2"/>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825"/>
              <w:rPr>
                <w:rFonts w:eastAsia="Times New Roman" w:hint="default"/>
              </w:rPr>
            </w:pPr>
            <w:r>
              <w:rPr>
                <w:rFonts w:ascii="宋体" w:hAnsi="宋体"/>
              </w:rPr>
              <w:t>财务年度</w:t>
            </w:r>
          </w:p>
        </w:tc>
        <w:tc>
          <w:tcPr>
            <w:tcW w:w="2179" w:type="dxa"/>
            <w:gridSpan w:val="3"/>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123"/>
              <w:rPr>
                <w:rFonts w:eastAsia="Times New Roman" w:hint="default"/>
              </w:rPr>
            </w:pPr>
            <w:r>
              <w:rPr>
                <w:rFonts w:ascii="宋体" w:hAnsi="宋体"/>
              </w:rPr>
              <w:t>企业收入（万元）</w:t>
            </w:r>
          </w:p>
        </w:tc>
        <w:tc>
          <w:tcPr>
            <w:tcW w:w="2418" w:type="dxa"/>
            <w:gridSpan w:val="2"/>
            <w:tcBorders>
              <w:top w:val="single" w:sz="2" w:space="0" w:color="000000"/>
              <w:left w:val="single" w:sz="2" w:space="0" w:color="000000"/>
              <w:bottom w:val="single" w:sz="2" w:space="0" w:color="000000"/>
              <w:right w:val="single" w:sz="12" w:space="0" w:color="000000"/>
            </w:tcBorders>
            <w:shd w:val="clear" w:color="auto" w:fill="auto"/>
          </w:tcPr>
          <w:p>
            <w:pPr>
              <w:pStyle w:val="TableParagraph"/>
              <w:kinsoku w:val="0"/>
              <w:overflowPunct w:val="0"/>
              <w:spacing w:before="75"/>
              <w:ind w:left="483"/>
              <w:rPr>
                <w:rFonts w:eastAsia="Times New Roman" w:hint="default"/>
              </w:rPr>
            </w:pPr>
            <w:r>
              <w:rPr>
                <w:rFonts w:ascii="宋体" w:hAnsi="宋体"/>
              </w:rPr>
              <w:t>盈利（万元）</w:t>
            </w:r>
          </w:p>
        </w:tc>
      </w:tr>
      <w:tr>
        <w:tblPrEx>
          <w:tblW w:w="0" w:type="auto"/>
          <w:tblInd w:w="193" w:type="dxa"/>
          <w:tblLayout w:type="fixed"/>
          <w:tblCellMar>
            <w:top w:w="0" w:type="dxa"/>
            <w:left w:w="108" w:type="dxa"/>
            <w:bottom w:w="0" w:type="dxa"/>
            <w:right w:w="108" w:type="dxa"/>
          </w:tblCellMar>
        </w:tblPrEx>
        <w:trPr>
          <w:trHeight w:hRule="exact" w:val="1159"/>
        </w:trPr>
        <w:tc>
          <w:tcPr>
            <w:tcW w:w="2431" w:type="dxa"/>
            <w:vMerge/>
            <w:tcBorders>
              <w:top w:val="single" w:sz="2" w:space="0" w:color="000000"/>
              <w:left w:val="single" w:sz="12" w:space="0" w:color="000000"/>
              <w:bottom w:val="single" w:sz="2" w:space="0" w:color="000000"/>
              <w:right w:val="single" w:sz="2" w:space="0" w:color="000000"/>
            </w:tcBorders>
            <w:shd w:val="clear" w:color="auto" w:fill="auto"/>
          </w:tcPr>
          <w:p>
            <w:pPr>
              <w:pStyle w:val="TableParagraph"/>
              <w:kinsoku w:val="0"/>
              <w:overflowPunct w:val="0"/>
              <w:spacing w:before="75"/>
              <w:ind w:left="483"/>
              <w:rPr>
                <w:rFonts w:eastAsia="Times New Roman" w:hint="default"/>
              </w:rPr>
            </w:pPr>
          </w:p>
        </w:tc>
        <w:tc>
          <w:tcPr>
            <w:tcW w:w="2617" w:type="dxa"/>
            <w:gridSpan w:val="2"/>
            <w:tcBorders>
              <w:top w:val="single" w:sz="2" w:space="0" w:color="000000"/>
              <w:left w:val="single" w:sz="2" w:space="0" w:color="000000"/>
              <w:bottom w:val="single" w:sz="4" w:space="0" w:color="000000"/>
              <w:right w:val="single" w:sz="2" w:space="0" w:color="000000"/>
            </w:tcBorders>
            <w:shd w:val="clear" w:color="auto" w:fill="auto"/>
          </w:tcPr>
          <w:p>
            <w:pPr>
              <w:pStyle w:val="TableParagraph"/>
              <w:kinsoku w:val="0"/>
              <w:overflowPunct w:val="0"/>
              <w:spacing w:line="190" w:lineRule="exact"/>
              <w:jc w:val="center"/>
              <w:rPr>
                <w:rFonts w:eastAsia="Times New Roman" w:hint="default"/>
                <w:sz w:val="19"/>
              </w:rPr>
            </w:pPr>
          </w:p>
          <w:p>
            <w:pPr>
              <w:pStyle w:val="TableParagraph"/>
              <w:kinsoku w:val="0"/>
              <w:overflowPunct w:val="0"/>
              <w:spacing w:line="240" w:lineRule="exact"/>
              <w:jc w:val="center"/>
              <w:rPr>
                <w:rFonts w:eastAsia="Times New Roman" w:hint="default"/>
              </w:rPr>
            </w:pPr>
          </w:p>
          <w:p>
            <w:pPr>
              <w:pStyle w:val="TableParagraph"/>
              <w:kinsoku w:val="0"/>
              <w:overflowPunct w:val="0"/>
              <w:ind w:right="1045"/>
              <w:jc w:val="center"/>
              <w:rPr>
                <w:rFonts w:hint="default"/>
              </w:rPr>
            </w:pPr>
            <w:r>
              <w:rPr>
                <w:rFonts w:ascii="宋体" w:hAnsi="宋体"/>
              </w:rPr>
              <w:t>2019</w:t>
            </w:r>
          </w:p>
        </w:tc>
        <w:tc>
          <w:tcPr>
            <w:tcW w:w="2179" w:type="dxa"/>
            <w:gridSpan w:val="3"/>
            <w:tcBorders>
              <w:top w:val="single" w:sz="2" w:space="0" w:color="000000"/>
              <w:left w:val="single" w:sz="2" w:space="0" w:color="000000"/>
              <w:bottom w:val="single" w:sz="4" w:space="0" w:color="000000"/>
              <w:right w:val="single" w:sz="2" w:space="0" w:color="000000"/>
            </w:tcBorders>
            <w:shd w:val="clear" w:color="auto" w:fill="auto"/>
          </w:tcPr>
          <w:p>
            <w:pPr>
              <w:rPr>
                <w:rFonts w:eastAsia="Times New Roman" w:hint="default"/>
              </w:rPr>
            </w:pPr>
          </w:p>
        </w:tc>
        <w:tc>
          <w:tcPr>
            <w:tcW w:w="2418" w:type="dxa"/>
            <w:gridSpan w:val="2"/>
            <w:tcBorders>
              <w:top w:val="single" w:sz="2" w:space="0" w:color="000000"/>
              <w:left w:val="single" w:sz="2" w:space="0" w:color="000000"/>
              <w:bottom w:val="single" w:sz="4" w:space="0" w:color="000000"/>
              <w:right w:val="single" w:sz="12" w:space="0" w:color="000000"/>
            </w:tcBorders>
            <w:shd w:val="clear" w:color="auto" w:fill="auto"/>
          </w:tcPr>
          <w:p>
            <w:pPr>
              <w:rPr>
                <w:rFonts w:eastAsia="Times New Roman" w:hint="default"/>
              </w:rPr>
            </w:pPr>
          </w:p>
        </w:tc>
      </w:tr>
      <w:tr>
        <w:tblPrEx>
          <w:tblW w:w="0" w:type="auto"/>
          <w:tblInd w:w="193" w:type="dxa"/>
          <w:tblLayout w:type="fixed"/>
          <w:tblCellMar>
            <w:top w:w="0" w:type="dxa"/>
            <w:left w:w="108" w:type="dxa"/>
            <w:bottom w:w="0" w:type="dxa"/>
            <w:right w:w="108" w:type="dxa"/>
          </w:tblCellMar>
        </w:tblPrEx>
        <w:trPr>
          <w:trHeight w:hRule="exact" w:val="1143"/>
        </w:trPr>
        <w:tc>
          <w:tcPr>
            <w:tcW w:w="2431" w:type="dxa"/>
            <w:vMerge/>
            <w:tcBorders>
              <w:top w:val="single" w:sz="2" w:space="0" w:color="000000"/>
              <w:left w:val="single" w:sz="12" w:space="0" w:color="000000"/>
              <w:bottom w:val="single" w:sz="2" w:space="0" w:color="000000"/>
              <w:right w:val="single" w:sz="2" w:space="0" w:color="000000"/>
            </w:tcBorders>
            <w:shd w:val="clear" w:color="auto" w:fill="auto"/>
          </w:tcPr>
          <w:p>
            <w:pPr>
              <w:rPr>
                <w:rFonts w:eastAsia="Times New Roman" w:hint="default"/>
              </w:rPr>
            </w:pPr>
          </w:p>
        </w:tc>
        <w:tc>
          <w:tcPr>
            <w:tcW w:w="2617" w:type="dxa"/>
            <w:gridSpan w:val="2"/>
            <w:tcBorders>
              <w:top w:val="single" w:sz="4"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3" w:line="180" w:lineRule="exact"/>
              <w:jc w:val="center"/>
              <w:rPr>
                <w:rFonts w:eastAsia="Times New Roman" w:hint="default"/>
                <w:sz w:val="18"/>
              </w:rPr>
            </w:pPr>
          </w:p>
          <w:p>
            <w:pPr>
              <w:pStyle w:val="TableParagraph"/>
              <w:kinsoku w:val="0"/>
              <w:overflowPunct w:val="0"/>
              <w:spacing w:line="240" w:lineRule="exact"/>
              <w:jc w:val="center"/>
              <w:rPr>
                <w:rFonts w:eastAsia="Times New Roman" w:hint="default"/>
              </w:rPr>
            </w:pPr>
          </w:p>
          <w:p>
            <w:pPr>
              <w:pStyle w:val="TableParagraph"/>
              <w:kinsoku w:val="0"/>
              <w:overflowPunct w:val="0"/>
              <w:ind w:right="1045"/>
              <w:jc w:val="center"/>
              <w:rPr>
                <w:rFonts w:hint="default"/>
              </w:rPr>
            </w:pPr>
            <w:r>
              <w:rPr>
                <w:rFonts w:ascii="宋体" w:hAnsi="宋体"/>
              </w:rPr>
              <w:t>2020</w:t>
            </w:r>
          </w:p>
        </w:tc>
        <w:tc>
          <w:tcPr>
            <w:tcW w:w="2179" w:type="dxa"/>
            <w:gridSpan w:val="3"/>
            <w:tcBorders>
              <w:top w:val="single" w:sz="4"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2418" w:type="dxa"/>
            <w:gridSpan w:val="2"/>
            <w:tcBorders>
              <w:top w:val="single" w:sz="4" w:space="0" w:color="000000"/>
              <w:left w:val="single" w:sz="2" w:space="0" w:color="000000"/>
              <w:bottom w:val="single" w:sz="2" w:space="0" w:color="000000"/>
              <w:right w:val="single" w:sz="12" w:space="0" w:color="000000"/>
            </w:tcBorders>
            <w:shd w:val="clear" w:color="auto" w:fill="auto"/>
          </w:tcPr>
          <w:p>
            <w:pPr>
              <w:rPr>
                <w:rFonts w:eastAsia="Times New Roman" w:hint="default"/>
              </w:rPr>
            </w:pPr>
          </w:p>
        </w:tc>
      </w:tr>
      <w:tr>
        <w:tblPrEx>
          <w:tblW w:w="0" w:type="auto"/>
          <w:tblInd w:w="193" w:type="dxa"/>
          <w:tblLayout w:type="fixed"/>
          <w:tblCellMar>
            <w:top w:w="0" w:type="dxa"/>
            <w:left w:w="108" w:type="dxa"/>
            <w:bottom w:w="0" w:type="dxa"/>
            <w:right w:w="108" w:type="dxa"/>
          </w:tblCellMar>
        </w:tblPrEx>
        <w:trPr>
          <w:trHeight w:hRule="exact" w:val="446"/>
        </w:trPr>
        <w:tc>
          <w:tcPr>
            <w:tcW w:w="9645" w:type="dxa"/>
            <w:gridSpan w:val="8"/>
            <w:tcBorders>
              <w:top w:val="single" w:sz="2" w:space="0" w:color="000000"/>
              <w:left w:val="single" w:sz="12" w:space="0" w:color="000000"/>
              <w:bottom w:val="single" w:sz="2" w:space="0" w:color="000000"/>
              <w:right w:val="single" w:sz="12" w:space="0" w:color="000000"/>
            </w:tcBorders>
            <w:shd w:val="clear" w:color="auto" w:fill="auto"/>
          </w:tcPr>
          <w:p>
            <w:pPr>
              <w:pStyle w:val="TableParagraph"/>
              <w:kinsoku w:val="0"/>
              <w:overflowPunct w:val="0"/>
              <w:spacing w:before="75"/>
              <w:ind w:left="3527" w:right="3527"/>
              <w:jc w:val="center"/>
              <w:rPr>
                <w:rFonts w:eastAsia="Times New Roman" w:hint="default"/>
              </w:rPr>
            </w:pPr>
            <w:r>
              <w:rPr>
                <w:rFonts w:ascii="宋体" w:hAnsi="宋体"/>
              </w:rPr>
              <w:t>3、企业人员情况介绍</w:t>
            </w:r>
          </w:p>
        </w:tc>
      </w:tr>
      <w:tr>
        <w:tblPrEx>
          <w:tblW w:w="0" w:type="auto"/>
          <w:tblInd w:w="193" w:type="dxa"/>
          <w:tblLayout w:type="fixed"/>
          <w:tblCellMar>
            <w:top w:w="0" w:type="dxa"/>
            <w:left w:w="108" w:type="dxa"/>
            <w:bottom w:w="0" w:type="dxa"/>
            <w:right w:w="108" w:type="dxa"/>
          </w:tblCellMar>
        </w:tblPrEx>
        <w:trPr>
          <w:trHeight w:hRule="exact" w:val="444"/>
        </w:trPr>
        <w:tc>
          <w:tcPr>
            <w:tcW w:w="2431" w:type="dxa"/>
            <w:tcBorders>
              <w:top w:val="single" w:sz="2" w:space="0" w:color="000000"/>
              <w:left w:val="single" w:sz="12" w:space="0" w:color="000000"/>
              <w:bottom w:val="single" w:sz="2" w:space="0" w:color="000000"/>
              <w:right w:val="single" w:sz="2" w:space="0" w:color="000000"/>
            </w:tcBorders>
            <w:shd w:val="clear" w:color="auto" w:fill="auto"/>
          </w:tcPr>
          <w:p>
            <w:pPr>
              <w:pStyle w:val="TableParagraph"/>
              <w:kinsoku w:val="0"/>
              <w:overflowPunct w:val="0"/>
              <w:spacing w:before="75"/>
              <w:ind w:left="359"/>
              <w:rPr>
                <w:rFonts w:eastAsia="Times New Roman" w:hint="default"/>
              </w:rPr>
            </w:pPr>
            <w:r>
              <w:rPr>
                <w:rFonts w:ascii="宋体" w:hAnsi="宋体"/>
              </w:rPr>
              <w:t>法定代表人姓名</w:t>
            </w:r>
          </w:p>
        </w:tc>
        <w:tc>
          <w:tcPr>
            <w:tcW w:w="1381" w:type="dxa"/>
            <w:tcBorders>
              <w:top w:val="single" w:sz="2"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1459" w:type="dxa"/>
            <w:gridSpan w:val="2"/>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483"/>
              <w:rPr>
                <w:rFonts w:eastAsia="Times New Roman" w:hint="default"/>
              </w:rPr>
            </w:pPr>
            <w:r>
              <w:rPr>
                <w:rFonts w:ascii="宋体" w:hAnsi="宋体"/>
              </w:rPr>
              <w:t>职务</w:t>
            </w:r>
          </w:p>
        </w:tc>
        <w:tc>
          <w:tcPr>
            <w:tcW w:w="1347" w:type="dxa"/>
            <w:tcBorders>
              <w:top w:val="single" w:sz="2"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1346" w:type="dxa"/>
            <w:gridSpan w:val="2"/>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428"/>
              <w:rPr>
                <w:rFonts w:eastAsia="Times New Roman" w:hint="default"/>
              </w:rPr>
            </w:pPr>
            <w:r>
              <w:rPr>
                <w:rFonts w:ascii="宋体" w:hAnsi="宋体"/>
              </w:rPr>
              <w:t>职称</w:t>
            </w:r>
          </w:p>
        </w:tc>
        <w:tc>
          <w:tcPr>
            <w:tcW w:w="1681" w:type="dxa"/>
            <w:tcBorders>
              <w:top w:val="single" w:sz="2" w:space="0" w:color="000000"/>
              <w:left w:val="single" w:sz="2" w:space="0" w:color="000000"/>
              <w:bottom w:val="single" w:sz="2" w:space="0" w:color="000000"/>
              <w:right w:val="single" w:sz="12" w:space="0" w:color="000000"/>
            </w:tcBorders>
            <w:shd w:val="clear" w:color="auto" w:fill="auto"/>
          </w:tcPr>
          <w:p>
            <w:pPr>
              <w:rPr>
                <w:rFonts w:eastAsia="Times New Roman" w:hint="default"/>
              </w:rPr>
            </w:pPr>
          </w:p>
        </w:tc>
      </w:tr>
      <w:tr>
        <w:tblPrEx>
          <w:tblW w:w="0" w:type="auto"/>
          <w:tblInd w:w="193" w:type="dxa"/>
          <w:tblLayout w:type="fixed"/>
          <w:tblCellMar>
            <w:top w:w="0" w:type="dxa"/>
            <w:left w:w="108" w:type="dxa"/>
            <w:bottom w:w="0" w:type="dxa"/>
            <w:right w:w="108" w:type="dxa"/>
          </w:tblCellMar>
        </w:tblPrEx>
        <w:trPr>
          <w:trHeight w:hRule="exact" w:val="446"/>
        </w:trPr>
        <w:tc>
          <w:tcPr>
            <w:tcW w:w="2431" w:type="dxa"/>
            <w:tcBorders>
              <w:top w:val="single" w:sz="2" w:space="0" w:color="000000"/>
              <w:left w:val="single" w:sz="12" w:space="0" w:color="000000"/>
              <w:bottom w:val="single" w:sz="2" w:space="0" w:color="000000"/>
              <w:right w:val="single" w:sz="2" w:space="0" w:color="000000"/>
            </w:tcBorders>
            <w:shd w:val="clear" w:color="auto" w:fill="auto"/>
          </w:tcPr>
          <w:p>
            <w:pPr>
              <w:pStyle w:val="TableParagraph"/>
              <w:kinsoku w:val="0"/>
              <w:overflowPunct w:val="0"/>
              <w:spacing w:before="75"/>
              <w:ind w:left="239"/>
              <w:rPr>
                <w:rFonts w:eastAsia="Times New Roman" w:hint="default"/>
              </w:rPr>
            </w:pPr>
            <w:r>
              <w:rPr>
                <w:rFonts w:ascii="宋体" w:hAnsi="宋体"/>
              </w:rPr>
              <w:t>技术总负责人姓名</w:t>
            </w:r>
          </w:p>
        </w:tc>
        <w:tc>
          <w:tcPr>
            <w:tcW w:w="1381" w:type="dxa"/>
            <w:tcBorders>
              <w:top w:val="single" w:sz="2"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1459" w:type="dxa"/>
            <w:gridSpan w:val="2"/>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483"/>
              <w:rPr>
                <w:rFonts w:eastAsia="Times New Roman" w:hint="default"/>
              </w:rPr>
            </w:pPr>
            <w:r>
              <w:rPr>
                <w:rFonts w:ascii="宋体" w:hAnsi="宋体"/>
              </w:rPr>
              <w:t>职务</w:t>
            </w:r>
          </w:p>
        </w:tc>
        <w:tc>
          <w:tcPr>
            <w:tcW w:w="1347" w:type="dxa"/>
            <w:tcBorders>
              <w:top w:val="single" w:sz="2" w:space="0" w:color="000000"/>
              <w:left w:val="single" w:sz="2" w:space="0" w:color="000000"/>
              <w:bottom w:val="single" w:sz="2" w:space="0" w:color="000000"/>
              <w:right w:val="single" w:sz="2" w:space="0" w:color="000000"/>
            </w:tcBorders>
            <w:shd w:val="clear" w:color="auto" w:fill="auto"/>
          </w:tcPr>
          <w:p>
            <w:pPr>
              <w:rPr>
                <w:rFonts w:eastAsia="Times New Roman" w:hint="default"/>
              </w:rPr>
            </w:pPr>
          </w:p>
        </w:tc>
        <w:tc>
          <w:tcPr>
            <w:tcW w:w="1346" w:type="dxa"/>
            <w:gridSpan w:val="2"/>
            <w:tcBorders>
              <w:top w:val="single" w:sz="2" w:space="0" w:color="000000"/>
              <w:left w:val="single" w:sz="2" w:space="0" w:color="000000"/>
              <w:bottom w:val="single" w:sz="2" w:space="0" w:color="000000"/>
              <w:right w:val="single" w:sz="2" w:space="0" w:color="000000"/>
            </w:tcBorders>
            <w:shd w:val="clear" w:color="auto" w:fill="auto"/>
          </w:tcPr>
          <w:p>
            <w:pPr>
              <w:pStyle w:val="TableParagraph"/>
              <w:kinsoku w:val="0"/>
              <w:overflowPunct w:val="0"/>
              <w:spacing w:before="75"/>
              <w:ind w:left="428"/>
              <w:rPr>
                <w:rFonts w:eastAsia="Times New Roman" w:hint="default"/>
              </w:rPr>
            </w:pPr>
            <w:r>
              <w:rPr>
                <w:rFonts w:ascii="宋体" w:hAnsi="宋体"/>
              </w:rPr>
              <w:t>职称</w:t>
            </w:r>
          </w:p>
        </w:tc>
        <w:tc>
          <w:tcPr>
            <w:tcW w:w="1681" w:type="dxa"/>
            <w:tcBorders>
              <w:top w:val="single" w:sz="2" w:space="0" w:color="000000"/>
              <w:left w:val="single" w:sz="2" w:space="0" w:color="000000"/>
              <w:bottom w:val="single" w:sz="2" w:space="0" w:color="000000"/>
              <w:right w:val="single" w:sz="12" w:space="0" w:color="000000"/>
            </w:tcBorders>
            <w:shd w:val="clear" w:color="auto" w:fill="auto"/>
          </w:tcPr>
          <w:p>
            <w:pPr>
              <w:rPr>
                <w:rFonts w:eastAsia="Times New Roman" w:hint="default"/>
              </w:rPr>
            </w:pPr>
          </w:p>
        </w:tc>
      </w:tr>
      <w:tr>
        <w:tblPrEx>
          <w:tblW w:w="0" w:type="auto"/>
          <w:tblInd w:w="193" w:type="dxa"/>
          <w:tblLayout w:type="fixed"/>
          <w:tblCellMar>
            <w:top w:w="0" w:type="dxa"/>
            <w:left w:w="108" w:type="dxa"/>
            <w:bottom w:w="0" w:type="dxa"/>
            <w:right w:w="108" w:type="dxa"/>
          </w:tblCellMar>
        </w:tblPrEx>
        <w:trPr>
          <w:trHeight w:hRule="exact" w:val="454"/>
        </w:trPr>
        <w:tc>
          <w:tcPr>
            <w:tcW w:w="2431" w:type="dxa"/>
            <w:tcBorders>
              <w:top w:val="single" w:sz="2" w:space="0" w:color="000000"/>
              <w:left w:val="single" w:sz="12" w:space="0" w:color="000000"/>
              <w:bottom w:val="single" w:sz="12" w:space="0" w:color="000000"/>
              <w:right w:val="single" w:sz="2" w:space="0" w:color="000000"/>
            </w:tcBorders>
            <w:shd w:val="clear" w:color="auto" w:fill="auto"/>
          </w:tcPr>
          <w:p>
            <w:pPr>
              <w:pStyle w:val="TableParagraph"/>
              <w:kinsoku w:val="0"/>
              <w:overflowPunct w:val="0"/>
              <w:spacing w:before="75"/>
              <w:ind w:left="239"/>
              <w:rPr>
                <w:rFonts w:eastAsia="Times New Roman" w:hint="default"/>
              </w:rPr>
            </w:pPr>
            <w:r>
              <w:rPr>
                <w:rFonts w:ascii="宋体" w:hAnsi="宋体"/>
              </w:rPr>
              <w:t>经济总负责人姓名</w:t>
            </w:r>
          </w:p>
        </w:tc>
        <w:tc>
          <w:tcPr>
            <w:tcW w:w="1381" w:type="dxa"/>
            <w:tcBorders>
              <w:top w:val="single" w:sz="2" w:space="0" w:color="000000"/>
              <w:left w:val="single" w:sz="2" w:space="0" w:color="000000"/>
              <w:bottom w:val="single" w:sz="12" w:space="0" w:color="000000"/>
              <w:right w:val="single" w:sz="2" w:space="0" w:color="000000"/>
            </w:tcBorders>
            <w:shd w:val="clear" w:color="auto" w:fill="auto"/>
          </w:tcPr>
          <w:p>
            <w:pPr>
              <w:rPr>
                <w:rFonts w:eastAsia="Times New Roman" w:hint="default"/>
              </w:rPr>
            </w:pPr>
          </w:p>
        </w:tc>
        <w:tc>
          <w:tcPr>
            <w:tcW w:w="1459" w:type="dxa"/>
            <w:gridSpan w:val="2"/>
            <w:tcBorders>
              <w:top w:val="single" w:sz="2" w:space="0" w:color="000000"/>
              <w:left w:val="single" w:sz="2" w:space="0" w:color="000000"/>
              <w:bottom w:val="single" w:sz="12" w:space="0" w:color="000000"/>
              <w:right w:val="single" w:sz="2" w:space="0" w:color="000000"/>
            </w:tcBorders>
            <w:shd w:val="clear" w:color="auto" w:fill="auto"/>
          </w:tcPr>
          <w:p>
            <w:pPr>
              <w:pStyle w:val="TableParagraph"/>
              <w:kinsoku w:val="0"/>
              <w:overflowPunct w:val="0"/>
              <w:spacing w:before="75"/>
              <w:ind w:left="483"/>
              <w:rPr>
                <w:rFonts w:eastAsia="Times New Roman" w:hint="default"/>
              </w:rPr>
            </w:pPr>
            <w:r>
              <w:rPr>
                <w:rFonts w:ascii="宋体" w:hAnsi="宋体"/>
              </w:rPr>
              <w:t>职务</w:t>
            </w:r>
          </w:p>
        </w:tc>
        <w:tc>
          <w:tcPr>
            <w:tcW w:w="1347" w:type="dxa"/>
            <w:tcBorders>
              <w:top w:val="single" w:sz="2" w:space="0" w:color="000000"/>
              <w:left w:val="single" w:sz="2" w:space="0" w:color="000000"/>
              <w:bottom w:val="single" w:sz="12" w:space="0" w:color="000000"/>
              <w:right w:val="single" w:sz="2" w:space="0" w:color="000000"/>
            </w:tcBorders>
            <w:shd w:val="clear" w:color="auto" w:fill="auto"/>
          </w:tcPr>
          <w:p>
            <w:pPr>
              <w:rPr>
                <w:rFonts w:eastAsia="Times New Roman" w:hint="default"/>
              </w:rPr>
            </w:pPr>
          </w:p>
        </w:tc>
        <w:tc>
          <w:tcPr>
            <w:tcW w:w="1346" w:type="dxa"/>
            <w:gridSpan w:val="2"/>
            <w:tcBorders>
              <w:top w:val="single" w:sz="2" w:space="0" w:color="000000"/>
              <w:left w:val="single" w:sz="2" w:space="0" w:color="000000"/>
              <w:bottom w:val="single" w:sz="12" w:space="0" w:color="000000"/>
              <w:right w:val="single" w:sz="2" w:space="0" w:color="000000"/>
            </w:tcBorders>
            <w:shd w:val="clear" w:color="auto" w:fill="auto"/>
          </w:tcPr>
          <w:p>
            <w:pPr>
              <w:pStyle w:val="TableParagraph"/>
              <w:kinsoku w:val="0"/>
              <w:overflowPunct w:val="0"/>
              <w:spacing w:before="75"/>
              <w:ind w:left="428"/>
              <w:rPr>
                <w:rFonts w:eastAsia="Times New Roman" w:hint="default"/>
              </w:rPr>
            </w:pPr>
            <w:r>
              <w:rPr>
                <w:rFonts w:ascii="宋体" w:hAnsi="宋体"/>
              </w:rPr>
              <w:t>职称</w:t>
            </w:r>
          </w:p>
        </w:tc>
        <w:tc>
          <w:tcPr>
            <w:tcW w:w="1681" w:type="dxa"/>
            <w:tcBorders>
              <w:top w:val="single" w:sz="2" w:space="0" w:color="000000"/>
              <w:left w:val="single" w:sz="2" w:space="0" w:color="000000"/>
              <w:bottom w:val="single" w:sz="12" w:space="0" w:color="000000"/>
              <w:right w:val="single" w:sz="12" w:space="0" w:color="000000"/>
            </w:tcBorders>
            <w:shd w:val="clear" w:color="auto" w:fill="auto"/>
          </w:tcPr>
          <w:p>
            <w:pPr>
              <w:rPr>
                <w:rFonts w:eastAsia="Times New Roman" w:hint="default"/>
              </w:rPr>
            </w:pPr>
          </w:p>
        </w:tc>
      </w:tr>
    </w:tbl>
    <w:p>
      <w:pPr>
        <w:pStyle w:val="BodyText"/>
        <w:kinsoku w:val="0"/>
        <w:overflowPunct w:val="0"/>
        <w:spacing w:line="341" w:lineRule="auto"/>
        <w:ind w:left="207"/>
        <w:rPr>
          <w:rFonts w:hint="default"/>
        </w:rPr>
      </w:pPr>
      <w:r>
        <w:t>注：1、附营业执照副本扫描件、开户许可证扫描件。</w:t>
      </w:r>
    </w:p>
    <w:p>
      <w:pPr>
        <w:pStyle w:val="BodyText"/>
        <w:tabs>
          <w:tab w:val="left" w:pos="1888"/>
          <w:tab w:val="left" w:pos="2608"/>
          <w:tab w:val="left" w:pos="3328"/>
        </w:tabs>
        <w:kinsoku w:val="0"/>
        <w:overflowPunct w:val="0"/>
        <w:spacing w:before="27" w:line="334" w:lineRule="auto"/>
        <w:ind w:left="207" w:right="5318"/>
        <w:rPr>
          <w:rFonts w:hint="default"/>
        </w:rPr>
      </w:pPr>
      <w:r>
        <w:t xml:space="preserve">投标人（电子公章）： </w:t>
      </w:r>
    </w:p>
    <w:p>
      <w:pPr>
        <w:snapToGrid w:val="0"/>
        <w:spacing w:line="600" w:lineRule="exact"/>
        <w:ind w:firstLine="240" w:firstLineChars="100"/>
        <w:rPr>
          <w:rFonts w:ascii="宋体" w:hAnsi="宋体" w:hint="default"/>
          <w:color w:val="000000"/>
        </w:rPr>
      </w:pPr>
      <w:r>
        <w:rPr>
          <w:rFonts w:ascii="宋体" w:hAnsi="宋体"/>
          <w:color w:val="000000"/>
        </w:rPr>
        <w:t>法定代表人</w:t>
      </w:r>
      <w:r>
        <w:t>或委托代理人</w:t>
      </w:r>
      <w:r>
        <w:rPr>
          <w:rFonts w:ascii="宋体" w:hAnsi="宋体"/>
          <w:color w:val="000000"/>
        </w:rPr>
        <w:t>（电子签名和电子签章）：</w:t>
      </w:r>
    </w:p>
    <w:p>
      <w:pPr>
        <w:pStyle w:val="BodyText"/>
        <w:tabs>
          <w:tab w:val="left" w:pos="1888"/>
          <w:tab w:val="left" w:pos="2608"/>
          <w:tab w:val="left" w:pos="3328"/>
        </w:tabs>
        <w:kinsoku w:val="0"/>
        <w:overflowPunct w:val="0"/>
        <w:spacing w:before="27" w:line="334" w:lineRule="auto"/>
        <w:ind w:left="207" w:right="5318"/>
        <w:rPr>
          <w:rFonts w:hint="default"/>
        </w:rPr>
      </w:pPr>
    </w:p>
    <w:p>
      <w:pPr>
        <w:pStyle w:val="BodyText"/>
        <w:tabs>
          <w:tab w:val="left" w:pos="1888"/>
          <w:tab w:val="left" w:pos="2608"/>
          <w:tab w:val="left" w:pos="3328"/>
        </w:tabs>
        <w:kinsoku w:val="0"/>
        <w:overflowPunct w:val="0"/>
        <w:spacing w:before="27" w:line="334" w:lineRule="auto"/>
        <w:ind w:left="207" w:right="5318"/>
        <w:rPr>
          <w:rFonts w:hint="default"/>
        </w:rPr>
      </w:pPr>
      <w:r>
        <w:t>日期：</w:t>
      </w:r>
      <w:r>
        <w:rPr>
          <w:rFonts w:ascii="Times New Roman" w:eastAsia="Times New Roman" w:hint="default"/>
          <w:u w:val="single"/>
        </w:rPr>
        <w:tab/>
      </w:r>
      <w:r>
        <w:t>年</w:t>
      </w:r>
      <w:r>
        <w:rPr>
          <w:rFonts w:ascii="Times New Roman" w:eastAsia="Times New Roman" w:hint="default"/>
          <w:u w:val="single"/>
        </w:rPr>
        <w:tab/>
      </w:r>
      <w:r>
        <w:t>月</w:t>
      </w:r>
      <w:r>
        <w:rPr>
          <w:rFonts w:ascii="Times New Roman" w:eastAsia="Times New Roman" w:hint="default"/>
          <w:u w:val="single"/>
        </w:rPr>
        <w:tab/>
      </w:r>
      <w:r>
        <w:t>日</w:t>
      </w:r>
    </w:p>
    <w:p>
      <w:pPr>
        <w:pStyle w:val="BodyText"/>
        <w:tabs>
          <w:tab w:val="left" w:pos="1888"/>
          <w:tab w:val="left" w:pos="2608"/>
          <w:tab w:val="left" w:pos="3328"/>
        </w:tabs>
        <w:kinsoku w:val="0"/>
        <w:overflowPunct w:val="0"/>
        <w:spacing w:before="27" w:line="334" w:lineRule="auto"/>
        <w:ind w:left="207" w:right="5318"/>
        <w:rPr>
          <w:rFonts w:hint="default"/>
        </w:rPr>
        <w:sectPr>
          <w:pgSz w:w="11910" w:h="16840"/>
          <w:pgMar w:top="820" w:right="1020" w:bottom="1140" w:left="1040" w:header="592" w:footer="953" w:gutter="0"/>
          <w:cols w:num="1" w:space="708"/>
        </w:sectPr>
      </w:pPr>
    </w:p>
    <w:p>
      <w:pPr>
        <w:pStyle w:val="Heading4"/>
        <w:kinsoku w:val="0"/>
        <w:overflowPunct w:val="0"/>
        <w:spacing w:line="398" w:lineRule="exact"/>
        <w:jc w:val="both"/>
        <w:rPr>
          <w:rFonts w:ascii="微软雅黑" w:eastAsia="微软雅黑" w:hAnsi="微软雅黑" w:hint="default"/>
          <w:spacing w:val="-1"/>
        </w:rPr>
      </w:pPr>
      <w:bookmarkStart w:id="20" w:name="_Toc12076"/>
      <w:r>
        <w:rPr>
          <w:rFonts w:ascii="微软雅黑" w:eastAsia="微软雅黑" w:hAnsi="微软雅黑"/>
          <w:spacing w:val="-1"/>
        </w:rPr>
        <w:t>2、法定代表人身份证明书</w:t>
      </w:r>
      <w:bookmarkEnd w:id="20"/>
    </w:p>
    <w:p>
      <w:pPr>
        <w:pStyle w:val="BodyText"/>
        <w:kinsoku w:val="0"/>
        <w:overflowPunct w:val="0"/>
        <w:spacing w:before="72" w:line="324" w:lineRule="auto"/>
        <w:ind w:right="8197"/>
        <w:jc w:val="both"/>
        <w:rPr>
          <w:rFonts w:hint="default"/>
        </w:rPr>
      </w:pPr>
      <w:r>
        <w:t xml:space="preserve">单位名称： 单位性质： 注册资金： 地 址： </w:t>
      </w:r>
    </w:p>
    <w:p>
      <w:pPr>
        <w:pStyle w:val="BodyText"/>
        <w:kinsoku w:val="0"/>
        <w:overflowPunct w:val="0"/>
        <w:spacing w:before="72" w:line="324" w:lineRule="auto"/>
        <w:ind w:right="8197"/>
        <w:jc w:val="both"/>
        <w:rPr>
          <w:rFonts w:hint="default"/>
        </w:rPr>
      </w:pPr>
      <w:r>
        <w:t>成立时间： 经营期限：</w:t>
      </w:r>
    </w:p>
    <w:p>
      <w:pPr>
        <w:pStyle w:val="BodyText"/>
        <w:tabs>
          <w:tab w:val="left" w:pos="3940"/>
          <w:tab w:val="left" w:pos="4643"/>
          <w:tab w:val="left" w:pos="7229"/>
          <w:tab w:val="left" w:pos="7493"/>
          <w:tab w:val="left" w:pos="8367"/>
        </w:tabs>
        <w:kinsoku w:val="0"/>
        <w:overflowPunct w:val="0"/>
        <w:spacing w:before="102" w:line="340" w:lineRule="auto"/>
        <w:ind w:right="154" w:firstLine="480"/>
        <w:jc w:val="both"/>
        <w:rPr>
          <w:rFonts w:hint="default"/>
        </w:rPr>
      </w:pPr>
      <w:r>
        <w:t>姓名：</w:t>
      </w:r>
      <w:r>
        <w:rPr>
          <w:u w:val="single"/>
        </w:rPr>
        <w:t xml:space="preserve">     </w:t>
      </w:r>
      <w:r>
        <w:t>性别：</w:t>
      </w:r>
      <w:r>
        <w:rPr>
          <w:u w:val="single"/>
        </w:rPr>
        <w:t xml:space="preserve">     </w:t>
      </w:r>
      <w:r>
        <w:t>年龄：</w:t>
      </w:r>
      <w:r>
        <w:rPr>
          <w:u w:val="single"/>
        </w:rPr>
        <w:t xml:space="preserve">     </w:t>
      </w:r>
      <w:r>
        <w:t>职务：</w:t>
      </w:r>
      <w:r>
        <w:rPr>
          <w:u w:val="single"/>
        </w:rPr>
        <w:t xml:space="preserve">     </w:t>
      </w:r>
      <w:r>
        <w:t xml:space="preserve"> 系</w:t>
      </w:r>
      <w:r>
        <w:rPr>
          <w:u w:val="single"/>
        </w:rPr>
        <w:t xml:space="preserve">                 </w:t>
      </w:r>
      <w:r>
        <w:tab/>
      </w:r>
      <w:r>
        <w:t>的法定代表人。</w:t>
      </w:r>
    </w:p>
    <w:p>
      <w:pPr>
        <w:pStyle w:val="BodyText"/>
        <w:kinsoku w:val="0"/>
        <w:overflowPunct w:val="0"/>
        <w:spacing w:before="50" w:line="840" w:lineRule="exact"/>
        <w:ind w:right="6058"/>
        <w:rPr>
          <w:rFonts w:hint="default"/>
        </w:rPr>
      </w:pPr>
      <w:r>
        <w:t xml:space="preserve">特此证明。 </w:t>
      </w:r>
    </w:p>
    <w:p>
      <w:pPr>
        <w:pStyle w:val="BodyText"/>
        <w:kinsoku w:val="0"/>
        <w:overflowPunct w:val="0"/>
        <w:spacing w:before="50" w:line="840" w:lineRule="exact"/>
        <w:ind w:right="6058"/>
        <w:rPr>
          <w:rFonts w:hint="default"/>
        </w:rPr>
      </w:pPr>
      <w:r>
        <w:t>投标人（电子公章）：</w:t>
      </w:r>
    </w:p>
    <w:p>
      <w:pPr>
        <w:pStyle w:val="BodyText"/>
        <w:tabs>
          <w:tab w:val="left" w:pos="1828"/>
          <w:tab w:val="left" w:pos="2548"/>
          <w:tab w:val="left" w:pos="3268"/>
        </w:tabs>
        <w:kinsoku w:val="0"/>
        <w:overflowPunct w:val="0"/>
        <w:spacing w:before="0" w:line="286" w:lineRule="exact"/>
        <w:jc w:val="both"/>
        <w:rPr>
          <w:rFonts w:hint="default"/>
        </w:rPr>
      </w:pPr>
      <w:r>
        <w:t>日期：</w:t>
      </w:r>
      <w:r>
        <w:rPr>
          <w:rFonts w:ascii="Times New Roman" w:eastAsia="Times New Roman" w:hint="default"/>
          <w:u w:val="single"/>
        </w:rPr>
        <w:tab/>
      </w:r>
      <w:r>
        <w:t>年</w:t>
      </w:r>
      <w:r>
        <w:rPr>
          <w:rFonts w:ascii="Times New Roman" w:eastAsia="Times New Roman" w:hint="default"/>
          <w:u w:val="single"/>
        </w:rPr>
        <w:tab/>
      </w:r>
      <w:r>
        <w:t>月</w:t>
      </w:r>
      <w:r>
        <w:rPr>
          <w:rFonts w:ascii="Times New Roman" w:eastAsia="Times New Roman" w:hint="default"/>
          <w:u w:val="single"/>
        </w:rPr>
        <w:tab/>
      </w:r>
      <w:r>
        <w:t>日</w:t>
      </w:r>
    </w:p>
    <w:p>
      <w:pPr>
        <w:kinsoku w:val="0"/>
        <w:overflowPunct w:val="0"/>
        <w:spacing w:before="10" w:line="160" w:lineRule="exact"/>
        <w:rPr>
          <w:rFonts w:eastAsia="Times New Roman" w:hint="default"/>
          <w:sz w:val="16"/>
        </w:rPr>
      </w:pP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pStyle w:val="Heading6"/>
        <w:kinsoku w:val="0"/>
        <w:overflowPunct w:val="0"/>
        <w:spacing w:before="0"/>
        <w:ind w:left="3081"/>
        <w:rPr>
          <w:rFonts w:hint="default"/>
          <w:b w:val="0"/>
        </w:rPr>
      </w:pPr>
      <w:r>
        <w:rPr>
          <w:rFonts w:hint="default"/>
        </w:rPr>
        <mc:AlternateContent>
          <mc:Choice Requires="wps">
            <w:drawing>
              <wp:anchor distT="0" distB="0" distL="114300" distR="114300" simplePos="0" relativeHeight="251658240" behindDoc="1" locked="0" layoutInCell="1" allowOverlap="1">
                <wp:simplePos x="0" y="0"/>
                <wp:positionH relativeFrom="page">
                  <wp:posOffset>1457960</wp:posOffset>
                </wp:positionH>
                <wp:positionV relativeFrom="paragraph">
                  <wp:posOffset>268605</wp:posOffset>
                </wp:positionV>
                <wp:extent cx="4229100" cy="2080260"/>
                <wp:effectExtent l="10160" t="13335" r="8890" b="11430"/>
                <wp:wrapNone/>
                <wp:docPr id="4" name="任意多边形 3"/>
                <wp:cNvGraphicFramePr/>
                <a:graphic xmlns:a="http://schemas.openxmlformats.org/drawingml/2006/main">
                  <a:graphicData uri="http://schemas.microsoft.com/office/word/2010/wordprocessingShape">
                    <wps:wsp xmlns:wps="http://schemas.microsoft.com/office/word/2010/wordprocessingShape">
                      <wps:cNvSpPr/>
                      <wps:spPr bwMode="auto">
                        <a:xfrm>
                          <a:off x="0" y="0"/>
                          <a:ext cx="4229100" cy="2080260"/>
                        </a:xfrm>
                        <a:custGeom>
                          <a:avLst/>
                          <a:gdLst>
                            <a:gd name="T0" fmla="*/ 501 w 6660"/>
                            <a:gd name="T1" fmla="*/ 1 h 3276"/>
                            <a:gd name="T2" fmla="*/ 414 w 6660"/>
                            <a:gd name="T3" fmla="*/ 15 h 3276"/>
                            <a:gd name="T4" fmla="*/ 333 w 6660"/>
                            <a:gd name="T5" fmla="*/ 42 h 3276"/>
                            <a:gd name="T6" fmla="*/ 258 w 6660"/>
                            <a:gd name="T7" fmla="*/ 81 h 3276"/>
                            <a:gd name="T8" fmla="*/ 190 w 6660"/>
                            <a:gd name="T9" fmla="*/ 131 h 3276"/>
                            <a:gd name="T10" fmla="*/ 131 w 6660"/>
                            <a:gd name="T11" fmla="*/ 190 h 3276"/>
                            <a:gd name="T12" fmla="*/ 81 w 6660"/>
                            <a:gd name="T13" fmla="*/ 258 h 3276"/>
                            <a:gd name="T14" fmla="*/ 42 w 6660"/>
                            <a:gd name="T15" fmla="*/ 333 h 3276"/>
                            <a:gd name="T16" fmla="*/ 15 w 6660"/>
                            <a:gd name="T17" fmla="*/ 414 h 3276"/>
                            <a:gd name="T18" fmla="*/ 1 w 6660"/>
                            <a:gd name="T19" fmla="*/ 501 h 3276"/>
                            <a:gd name="T20" fmla="*/ 0 w 6660"/>
                            <a:gd name="T21" fmla="*/ 2730 h 3276"/>
                            <a:gd name="T22" fmla="*/ 7 w 6660"/>
                            <a:gd name="T23" fmla="*/ 2818 h 3276"/>
                            <a:gd name="T24" fmla="*/ 27 w 6660"/>
                            <a:gd name="T25" fmla="*/ 2902 h 3276"/>
                            <a:gd name="T26" fmla="*/ 60 w 6660"/>
                            <a:gd name="T27" fmla="*/ 2980 h 3276"/>
                            <a:gd name="T28" fmla="*/ 105 w 6660"/>
                            <a:gd name="T29" fmla="*/ 3052 h 3276"/>
                            <a:gd name="T30" fmla="*/ 159 w 6660"/>
                            <a:gd name="T31" fmla="*/ 3116 h 3276"/>
                            <a:gd name="T32" fmla="*/ 223 w 6660"/>
                            <a:gd name="T33" fmla="*/ 3170 h 3276"/>
                            <a:gd name="T34" fmla="*/ 295 w 6660"/>
                            <a:gd name="T35" fmla="*/ 3215 h 3276"/>
                            <a:gd name="T36" fmla="*/ 373 w 6660"/>
                            <a:gd name="T37" fmla="*/ 3248 h 3276"/>
                            <a:gd name="T38" fmla="*/ 457 w 6660"/>
                            <a:gd name="T39" fmla="*/ 3268 h 3276"/>
                            <a:gd name="T40" fmla="*/ 546 w 6660"/>
                            <a:gd name="T41" fmla="*/ 3276 h 3276"/>
                            <a:gd name="T42" fmla="*/ 6158 w 6660"/>
                            <a:gd name="T43" fmla="*/ 3274 h 3276"/>
                            <a:gd name="T44" fmla="*/ 6245 w 6660"/>
                            <a:gd name="T45" fmla="*/ 3260 h 3276"/>
                            <a:gd name="T46" fmla="*/ 6326 w 6660"/>
                            <a:gd name="T47" fmla="*/ 3233 h 3276"/>
                            <a:gd name="T48" fmla="*/ 6401 w 6660"/>
                            <a:gd name="T49" fmla="*/ 3194 h 3276"/>
                            <a:gd name="T50" fmla="*/ 6469 w 6660"/>
                            <a:gd name="T51" fmla="*/ 3144 h 3276"/>
                            <a:gd name="T52" fmla="*/ 6528 w 6660"/>
                            <a:gd name="T53" fmla="*/ 3085 h 3276"/>
                            <a:gd name="T54" fmla="*/ 6578 w 6660"/>
                            <a:gd name="T55" fmla="*/ 3017 h 3276"/>
                            <a:gd name="T56" fmla="*/ 6617 w 6660"/>
                            <a:gd name="T57" fmla="*/ 2942 h 3276"/>
                            <a:gd name="T58" fmla="*/ 6644 w 6660"/>
                            <a:gd name="T59" fmla="*/ 2861 h 3276"/>
                            <a:gd name="T60" fmla="*/ 6658 w 6660"/>
                            <a:gd name="T61" fmla="*/ 2774 h 3276"/>
                            <a:gd name="T62" fmla="*/ 6660 w 6660"/>
                            <a:gd name="T63" fmla="*/ 546 h 3276"/>
                            <a:gd name="T64" fmla="*/ 6652 w 6660"/>
                            <a:gd name="T65" fmla="*/ 457 h 3276"/>
                            <a:gd name="T66" fmla="*/ 6632 w 6660"/>
                            <a:gd name="T67" fmla="*/ 373 h 3276"/>
                            <a:gd name="T68" fmla="*/ 6599 w 6660"/>
                            <a:gd name="T69" fmla="*/ 295 h 3276"/>
                            <a:gd name="T70" fmla="*/ 6554 w 6660"/>
                            <a:gd name="T71" fmla="*/ 223 h 3276"/>
                            <a:gd name="T72" fmla="*/ 6500 w 6660"/>
                            <a:gd name="T73" fmla="*/ 159 h 3276"/>
                            <a:gd name="T74" fmla="*/ 6436 w 6660"/>
                            <a:gd name="T75" fmla="*/ 105 h 3276"/>
                            <a:gd name="T76" fmla="*/ 6364 w 6660"/>
                            <a:gd name="T77" fmla="*/ 60 h 3276"/>
                            <a:gd name="T78" fmla="*/ 6286 w 6660"/>
                            <a:gd name="T79" fmla="*/ 27 h 3276"/>
                            <a:gd name="T80" fmla="*/ 6202 w 6660"/>
                            <a:gd name="T81" fmla="*/ 7 h 3276"/>
                            <a:gd name="T82" fmla="*/ 6114 w 6660"/>
                            <a:gd name="T83" fmla="*/ 0 h 3276"/>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fill="norm" h="3276" w="6660" stroke="1">
                              <a:moveTo>
                                <a:pt x="546" y="0"/>
                              </a:moveTo>
                              <a:lnTo>
                                <a:pt x="501" y="1"/>
                              </a:lnTo>
                              <a:lnTo>
                                <a:pt x="457" y="7"/>
                              </a:lnTo>
                              <a:lnTo>
                                <a:pt x="414" y="15"/>
                              </a:lnTo>
                              <a:lnTo>
                                <a:pt x="373" y="27"/>
                              </a:lnTo>
                              <a:lnTo>
                                <a:pt x="333" y="42"/>
                              </a:lnTo>
                              <a:lnTo>
                                <a:pt x="295" y="60"/>
                              </a:lnTo>
                              <a:lnTo>
                                <a:pt x="258" y="81"/>
                              </a:lnTo>
                              <a:lnTo>
                                <a:pt x="223" y="105"/>
                              </a:lnTo>
                              <a:lnTo>
                                <a:pt x="190" y="131"/>
                              </a:lnTo>
                              <a:lnTo>
                                <a:pt x="159" y="159"/>
                              </a:lnTo>
                              <a:lnTo>
                                <a:pt x="131" y="190"/>
                              </a:lnTo>
                              <a:lnTo>
                                <a:pt x="105" y="223"/>
                              </a:lnTo>
                              <a:lnTo>
                                <a:pt x="81" y="258"/>
                              </a:lnTo>
                              <a:lnTo>
                                <a:pt x="60" y="295"/>
                              </a:lnTo>
                              <a:lnTo>
                                <a:pt x="42" y="333"/>
                              </a:lnTo>
                              <a:lnTo>
                                <a:pt x="27" y="373"/>
                              </a:lnTo>
                              <a:lnTo>
                                <a:pt x="15" y="414"/>
                              </a:lnTo>
                              <a:lnTo>
                                <a:pt x="7" y="457"/>
                              </a:lnTo>
                              <a:lnTo>
                                <a:pt x="1" y="501"/>
                              </a:lnTo>
                              <a:lnTo>
                                <a:pt x="0" y="546"/>
                              </a:lnTo>
                              <a:lnTo>
                                <a:pt x="0" y="2730"/>
                              </a:lnTo>
                              <a:lnTo>
                                <a:pt x="1" y="2774"/>
                              </a:lnTo>
                              <a:lnTo>
                                <a:pt x="7" y="2818"/>
                              </a:lnTo>
                              <a:lnTo>
                                <a:pt x="15" y="2861"/>
                              </a:lnTo>
                              <a:lnTo>
                                <a:pt x="27" y="2902"/>
                              </a:lnTo>
                              <a:lnTo>
                                <a:pt x="42" y="2942"/>
                              </a:lnTo>
                              <a:lnTo>
                                <a:pt x="60" y="2980"/>
                              </a:lnTo>
                              <a:lnTo>
                                <a:pt x="81" y="3017"/>
                              </a:lnTo>
                              <a:lnTo>
                                <a:pt x="105" y="3052"/>
                              </a:lnTo>
                              <a:lnTo>
                                <a:pt x="131" y="3085"/>
                              </a:lnTo>
                              <a:lnTo>
                                <a:pt x="159" y="3116"/>
                              </a:lnTo>
                              <a:lnTo>
                                <a:pt x="190" y="3144"/>
                              </a:lnTo>
                              <a:lnTo>
                                <a:pt x="223" y="3170"/>
                              </a:lnTo>
                              <a:lnTo>
                                <a:pt x="258" y="3194"/>
                              </a:lnTo>
                              <a:lnTo>
                                <a:pt x="295" y="3215"/>
                              </a:lnTo>
                              <a:lnTo>
                                <a:pt x="333" y="3233"/>
                              </a:lnTo>
                              <a:lnTo>
                                <a:pt x="373" y="3248"/>
                              </a:lnTo>
                              <a:lnTo>
                                <a:pt x="414" y="3260"/>
                              </a:lnTo>
                              <a:lnTo>
                                <a:pt x="457" y="3268"/>
                              </a:lnTo>
                              <a:lnTo>
                                <a:pt x="501" y="3274"/>
                              </a:lnTo>
                              <a:lnTo>
                                <a:pt x="546" y="3276"/>
                              </a:lnTo>
                              <a:lnTo>
                                <a:pt x="6114" y="3276"/>
                              </a:lnTo>
                              <a:lnTo>
                                <a:pt x="6158" y="3274"/>
                              </a:lnTo>
                              <a:lnTo>
                                <a:pt x="6202" y="3268"/>
                              </a:lnTo>
                              <a:lnTo>
                                <a:pt x="6245" y="3260"/>
                              </a:lnTo>
                              <a:lnTo>
                                <a:pt x="6286" y="3248"/>
                              </a:lnTo>
                              <a:lnTo>
                                <a:pt x="6326" y="3233"/>
                              </a:lnTo>
                              <a:lnTo>
                                <a:pt x="6364" y="3215"/>
                              </a:lnTo>
                              <a:lnTo>
                                <a:pt x="6401" y="3194"/>
                              </a:lnTo>
                              <a:lnTo>
                                <a:pt x="6436" y="3170"/>
                              </a:lnTo>
                              <a:lnTo>
                                <a:pt x="6469" y="3144"/>
                              </a:lnTo>
                              <a:lnTo>
                                <a:pt x="6500" y="3116"/>
                              </a:lnTo>
                              <a:lnTo>
                                <a:pt x="6528" y="3085"/>
                              </a:lnTo>
                              <a:lnTo>
                                <a:pt x="6554" y="3052"/>
                              </a:lnTo>
                              <a:lnTo>
                                <a:pt x="6578" y="3017"/>
                              </a:lnTo>
                              <a:lnTo>
                                <a:pt x="6599" y="2980"/>
                              </a:lnTo>
                              <a:lnTo>
                                <a:pt x="6617" y="2942"/>
                              </a:lnTo>
                              <a:lnTo>
                                <a:pt x="6632" y="2902"/>
                              </a:lnTo>
                              <a:lnTo>
                                <a:pt x="6644" y="2861"/>
                              </a:lnTo>
                              <a:lnTo>
                                <a:pt x="6652" y="2818"/>
                              </a:lnTo>
                              <a:lnTo>
                                <a:pt x="6658" y="2774"/>
                              </a:lnTo>
                              <a:lnTo>
                                <a:pt x="6660" y="2730"/>
                              </a:lnTo>
                              <a:lnTo>
                                <a:pt x="6660" y="546"/>
                              </a:lnTo>
                              <a:lnTo>
                                <a:pt x="6658" y="501"/>
                              </a:lnTo>
                              <a:lnTo>
                                <a:pt x="6652" y="457"/>
                              </a:lnTo>
                              <a:lnTo>
                                <a:pt x="6644" y="414"/>
                              </a:lnTo>
                              <a:lnTo>
                                <a:pt x="6632" y="373"/>
                              </a:lnTo>
                              <a:lnTo>
                                <a:pt x="6617" y="333"/>
                              </a:lnTo>
                              <a:lnTo>
                                <a:pt x="6599" y="295"/>
                              </a:lnTo>
                              <a:lnTo>
                                <a:pt x="6578" y="258"/>
                              </a:lnTo>
                              <a:lnTo>
                                <a:pt x="6554" y="223"/>
                              </a:lnTo>
                              <a:lnTo>
                                <a:pt x="6528" y="190"/>
                              </a:lnTo>
                              <a:lnTo>
                                <a:pt x="6500" y="159"/>
                              </a:lnTo>
                              <a:lnTo>
                                <a:pt x="6469" y="131"/>
                              </a:lnTo>
                              <a:lnTo>
                                <a:pt x="6436" y="105"/>
                              </a:lnTo>
                              <a:lnTo>
                                <a:pt x="6401" y="81"/>
                              </a:lnTo>
                              <a:lnTo>
                                <a:pt x="6364" y="60"/>
                              </a:lnTo>
                              <a:lnTo>
                                <a:pt x="6326" y="42"/>
                              </a:lnTo>
                              <a:lnTo>
                                <a:pt x="6286" y="27"/>
                              </a:lnTo>
                              <a:lnTo>
                                <a:pt x="6245" y="15"/>
                              </a:lnTo>
                              <a:lnTo>
                                <a:pt x="6202" y="7"/>
                              </a:lnTo>
                              <a:lnTo>
                                <a:pt x="6158" y="1"/>
                              </a:lnTo>
                              <a:lnTo>
                                <a:pt x="6114" y="0"/>
                              </a:lnTo>
                              <a:lnTo>
                                <a:pt x="546" y="0"/>
                              </a:lnTo>
                              <a:close/>
                            </a:path>
                          </a:pathLst>
                        </a:custGeom>
                        <a:noFill/>
                        <a:ln w="9525">
                          <a:solidFill>
                            <a:srgbClr val="000000"/>
                          </a:solidFill>
                          <a:round/>
                        </a:ln>
                      </wps:spPr>
                      <wps:bodyPr rot="0" vert="horz" wrap="square" anchor="t" anchorCtr="0" upright="1"/>
                    </wps:wsp>
                  </a:graphicData>
                </a:graphic>
              </wp:anchor>
            </w:drawing>
          </mc:Choice>
          <mc:Fallback>
            <w:pict>
              <v:shape id="任意多边形 3" o:spid="_x0000_s1025" style="width:333pt;height:163.8pt;margin-top:21.15pt;margin-left:114.8pt;mso-height-relative:page;mso-position-horizontal-relative:page;mso-width-relative:page;position:absolute;z-index:-251657216" coordsize="6660,3276" o:spt="100" adj="-11796480,,5400" path="m546,l501,1,457,7,414,15,373,27,333,42,295,60,258,81,223,105,190,131,159,159,131,190,105,223,81,258,60,295,42,333,27,373,15,414,7,457,1,501,,546,,2730,1,2774,7,2818,15,2861,27,2902,42,2942,60,2980,81,3017,105,3052,131,3085,159,3116,190,3144,223,3170,258,3194,295,3215,333,3233,373,3248,414,3260,457,3268,501,3274,546,3276,6114,3276,6158,3274,6202,3268,6245,3260,6286,3248,6326,3233,6364,3215,6401,3194,6436,3170,6469,3144,6500,3116,6528,3085,6554,3052,6578,3017,6599,2980,6617,2942,6632,2902,6644,2861,6652,2818,6658,2774,6660,2730,6660,546,6658,501,6652,457,6644,414,6632,373,6617,333,6599,295,6578,258,6554,223,6528,190,6500,159,6469,131,6436,105,6401,81,6364,60,6326,42,6286,27,6245,15,6202,7,6158,1,6114,,546,xe" filled="f" stroked="t" strokecolor="black">
                <v:stroke joinstyle="round"/>
                <v:path o:connecttype="custom" o:connectlocs="318135,635;262890,9525;211455,26670;163830,51435;120650,83185;83185,120650;51435,163830;26670,211455;9525,262890;635,318135;0,1733550;4445,1789430;17145,1842770;38100,1892300;66675,1938020;100965,1978660;141605,2012950;187325,2041525;236855,2062480;290195,2075180;346710,2080260;3910330,2078990;3965575,2070100;4017010,2052955;4064635,2028190;4107815,1996440;4145280,1958975;4177030,1915795;4201795,1868170;4218940,1816735;4227830,1761490;4229100,346710;4224020,290195;4211320,236855;4190365,187325;4161790,141605;4127500,100965;4086860,66675;4041140,38100;3991610,17145;3938270,4445;3882390,0" o:connectangles="0,0,0,0,0,0,0,0,0,0,0,0,0,0,0,0,0,0,0,0,0,0,0,0,0,0,0,0,0,0,0,0,0,0,0,0,0,0,0,0,0,0"/>
                <o:lock v:ext="edit" aspectratio="f"/>
              </v:shape>
            </w:pict>
          </mc:Fallback>
        </mc:AlternateContent>
      </w:r>
      <w:r>
        <w:t>法定代表人有效的身份证扫描件</w:t>
      </w:r>
    </w:p>
    <w:p>
      <w:pPr>
        <w:pStyle w:val="Heading6"/>
        <w:kinsoku w:val="0"/>
        <w:overflowPunct w:val="0"/>
        <w:spacing w:before="0"/>
        <w:ind w:left="3081"/>
        <w:rPr>
          <w:rFonts w:hint="default"/>
          <w:b w:val="0"/>
        </w:rPr>
        <w:sectPr>
          <w:pgSz w:w="11910" w:h="16840"/>
          <w:pgMar w:top="820" w:right="1260" w:bottom="1140" w:left="1100" w:header="592" w:footer="953" w:gutter="0"/>
          <w:cols w:num="1" w:space="708"/>
        </w:sectPr>
      </w:pPr>
    </w:p>
    <w:p>
      <w:pPr>
        <w:kinsoku w:val="0"/>
        <w:overflowPunct w:val="0"/>
        <w:spacing w:before="18"/>
        <w:ind w:left="147"/>
        <w:rPr>
          <w:rFonts w:ascii="黑体" w:eastAsia="黑体" w:hAnsi="黑体" w:hint="default"/>
          <w:spacing w:val="-1"/>
          <w:sz w:val="28"/>
        </w:rPr>
      </w:pPr>
      <w:bookmarkStart w:id="21" w:name="_Toc14613"/>
      <w:r>
        <w:rPr>
          <w:rFonts w:eastAsia="Times New Roman" w:hint="default"/>
          <w:spacing w:val="-1"/>
          <w:sz w:val="28"/>
        </w:rPr>
        <w:t>3</w:t>
      </w:r>
      <w:r>
        <w:rPr>
          <w:rFonts w:ascii="黑体" w:eastAsia="黑体" w:hAnsi="黑体"/>
          <w:spacing w:val="-1"/>
          <w:sz w:val="28"/>
        </w:rPr>
        <w:t>、法定代表人授权委托书（授权代表是法定代表人时，不必提供）</w:t>
      </w:r>
      <w:bookmarkEnd w:id="21"/>
    </w:p>
    <w:p>
      <w:pPr>
        <w:pStyle w:val="BodyText"/>
        <w:tabs>
          <w:tab w:val="left" w:pos="3940"/>
          <w:tab w:val="left" w:pos="4643"/>
          <w:tab w:val="left" w:pos="7229"/>
          <w:tab w:val="left" w:pos="7493"/>
          <w:tab w:val="left" w:pos="8367"/>
        </w:tabs>
        <w:kinsoku w:val="0"/>
        <w:overflowPunct w:val="0"/>
        <w:spacing w:before="102" w:line="340" w:lineRule="auto"/>
        <w:ind w:right="154" w:firstLine="480"/>
        <w:jc w:val="both"/>
        <w:rPr>
          <w:rFonts w:hint="default"/>
        </w:rPr>
      </w:pPr>
      <w:r>
        <w:t>本授权委托书声明</w:t>
      </w:r>
      <w:r>
        <w:rPr>
          <w:spacing w:val="-24"/>
        </w:rPr>
        <w:t>：</w:t>
      </w:r>
      <w:r>
        <w:t>我</w:t>
      </w:r>
      <w:r>
        <w:rPr>
          <w:rFonts w:ascii="Times New Roman" w:eastAsia="Times New Roman" w:hint="default"/>
          <w:u w:val="single"/>
        </w:rPr>
        <w:tab/>
      </w:r>
      <w:r>
        <w:t>（姓名</w:t>
      </w:r>
      <w:r>
        <w:rPr>
          <w:spacing w:val="-24"/>
        </w:rPr>
        <w:t>）</w:t>
      </w:r>
      <w:r>
        <w:t>系</w:t>
      </w:r>
      <w:r>
        <w:rPr>
          <w:rFonts w:ascii="Times New Roman" w:eastAsia="Times New Roman" w:hint="default"/>
          <w:u w:val="single"/>
        </w:rPr>
        <w:tab/>
      </w:r>
      <w:r>
        <w:rPr>
          <w:rFonts w:ascii="Times New Roman" w:eastAsia="Times New Roman" w:hint="default"/>
          <w:u w:val="single"/>
        </w:rPr>
        <w:tab/>
      </w:r>
      <w:r>
        <w:t>（投标人名称</w:t>
      </w:r>
      <w:r>
        <w:rPr>
          <w:spacing w:val="-24"/>
        </w:rPr>
        <w:t>）</w:t>
      </w:r>
      <w:r>
        <w:t>的 法定代表人，现授权委托</w:t>
      </w:r>
      <w:r>
        <w:rPr>
          <w:rFonts w:ascii="Times New Roman" w:eastAsia="Times New Roman" w:hint="default"/>
          <w:u w:val="single"/>
        </w:rPr>
        <w:tab/>
      </w:r>
      <w:r>
        <w:rPr>
          <w:rFonts w:ascii="Times New Roman" w:eastAsia="Times New Roman" w:hint="default"/>
          <w:u w:val="single"/>
        </w:rPr>
        <w:tab/>
      </w:r>
      <w:r>
        <w:t>（单位名称）的</w:t>
      </w:r>
      <w:r>
        <w:rPr>
          <w:rFonts w:ascii="Times New Roman" w:eastAsia="Times New Roman" w:hint="default"/>
          <w:u w:val="single"/>
        </w:rPr>
        <w:tab/>
      </w:r>
      <w:r>
        <w:t>（姓名）为我公司代 理人，以公司名义参加</w:t>
      </w:r>
      <w:r>
        <w:rPr>
          <w:rFonts w:ascii="Times New Roman" w:eastAsia="Times New Roman" w:hint="default"/>
          <w:spacing w:val="1"/>
          <w:w w:val="80"/>
          <w:u w:val="single"/>
        </w:rPr>
        <w:tab/>
      </w:r>
      <w:r>
        <w:rPr>
          <w:rFonts w:ascii="Times New Roman" w:eastAsia="Times New Roman" w:hint="default"/>
          <w:spacing w:val="1"/>
          <w:w w:val="80"/>
          <w:u w:val="single"/>
        </w:rPr>
        <w:tab/>
      </w:r>
      <w:r>
        <w:t>（招标人）的</w:t>
      </w:r>
      <w:r>
        <w:rPr>
          <w:rFonts w:ascii="Times New Roman" w:eastAsia="Times New Roman" w:hint="default"/>
          <w:w w:val="80"/>
          <w:u w:val="single"/>
        </w:rPr>
        <w:tab/>
      </w:r>
      <w:r>
        <w:rPr>
          <w:rFonts w:ascii="Times New Roman" w:eastAsia="Times New Roman" w:hint="default"/>
          <w:w w:val="80"/>
          <w:u w:val="single"/>
        </w:rPr>
        <w:tab/>
      </w:r>
      <w:r>
        <w:rPr>
          <w:rFonts w:ascii="Times New Roman" w:eastAsia="Times New Roman" w:hint="default"/>
          <w:w w:val="80"/>
          <w:u w:val="single"/>
        </w:rPr>
        <w:tab/>
      </w:r>
      <w:r>
        <w:t>项目的投 标活动</w:t>
      </w:r>
      <w:r>
        <w:rPr>
          <w:spacing w:val="-60"/>
        </w:rPr>
        <w:t>。</w:t>
      </w:r>
      <w:r>
        <w:t>代理人</w:t>
      </w:r>
      <w:r>
        <w:rPr>
          <w:spacing w:val="-1"/>
        </w:rPr>
        <w:t>在</w:t>
      </w:r>
      <w:r>
        <w:t>开标</w:t>
      </w:r>
      <w:r>
        <w:rPr>
          <w:spacing w:val="-60"/>
        </w:rPr>
        <w:t>、</w:t>
      </w:r>
      <w:r>
        <w:t>评标及合同谈判过程中所签署的一切文件和处理与之有关的一切 事务，我均予承认。</w:t>
      </w:r>
    </w:p>
    <w:p>
      <w:pPr>
        <w:kinsoku w:val="0"/>
        <w:overflowPunct w:val="0"/>
        <w:spacing w:line="230" w:lineRule="exact"/>
        <w:rPr>
          <w:rFonts w:eastAsia="Times New Roman" w:hint="default"/>
          <w:sz w:val="23"/>
        </w:rPr>
      </w:pPr>
    </w:p>
    <w:p>
      <w:pPr>
        <w:kinsoku w:val="0"/>
        <w:overflowPunct w:val="0"/>
        <w:spacing w:line="240" w:lineRule="exact"/>
        <w:rPr>
          <w:rFonts w:eastAsia="Times New Roman" w:hint="default"/>
        </w:rPr>
      </w:pPr>
    </w:p>
    <w:p>
      <w:pPr>
        <w:pStyle w:val="BodyText"/>
        <w:tabs>
          <w:tab w:val="left" w:pos="3940"/>
          <w:tab w:val="left" w:pos="4643"/>
          <w:tab w:val="left" w:pos="7229"/>
          <w:tab w:val="left" w:pos="7493"/>
          <w:tab w:val="left" w:pos="8367"/>
        </w:tabs>
        <w:kinsoku w:val="0"/>
        <w:overflowPunct w:val="0"/>
        <w:spacing w:before="102" w:line="340" w:lineRule="auto"/>
        <w:ind w:right="154" w:firstLine="480"/>
        <w:jc w:val="both"/>
        <w:rPr>
          <w:rFonts w:hint="default"/>
        </w:rPr>
      </w:pPr>
      <w:r>
        <w:t>代理人（签字）：</w:t>
      </w:r>
      <w:r>
        <w:rPr>
          <w:u w:val="single"/>
        </w:rPr>
        <w:t xml:space="preserve">         </w:t>
      </w:r>
      <w:r>
        <w:t>性别：</w:t>
      </w:r>
      <w:r>
        <w:rPr>
          <w:u w:val="single"/>
        </w:rPr>
        <w:t xml:space="preserve">    </w:t>
      </w:r>
      <w:r>
        <w:t>年龄：</w:t>
      </w:r>
      <w:r>
        <w:rPr>
          <w:u w:val="single"/>
        </w:rPr>
        <w:t xml:space="preserve">     </w:t>
      </w:r>
      <w:r>
        <w:t>部门：</w:t>
      </w:r>
      <w:r>
        <w:rPr>
          <w:u w:val="single"/>
        </w:rPr>
        <w:t xml:space="preserve">      </w:t>
      </w:r>
      <w:r>
        <w:t>职务：</w:t>
      </w:r>
      <w:r>
        <w:rPr>
          <w:u w:val="single"/>
        </w:rPr>
        <w:t xml:space="preserve">      </w:t>
      </w:r>
      <w:r>
        <w:t>代理人无转委权。</w:t>
      </w:r>
    </w:p>
    <w:p>
      <w:pPr>
        <w:pStyle w:val="BodyText"/>
        <w:tabs>
          <w:tab w:val="left" w:pos="3940"/>
          <w:tab w:val="left" w:pos="4643"/>
          <w:tab w:val="left" w:pos="7229"/>
          <w:tab w:val="left" w:pos="7493"/>
          <w:tab w:val="left" w:pos="8367"/>
        </w:tabs>
        <w:kinsoku w:val="0"/>
        <w:overflowPunct w:val="0"/>
        <w:spacing w:before="102" w:line="340" w:lineRule="auto"/>
        <w:ind w:right="154" w:firstLine="480"/>
        <w:jc w:val="both"/>
        <w:rPr>
          <w:rFonts w:hint="default"/>
        </w:rPr>
      </w:pPr>
      <w:r>
        <w:t>特此委托。</w:t>
      </w:r>
    </w:p>
    <w:p>
      <w:pPr>
        <w:pStyle w:val="BodyText"/>
        <w:tabs>
          <w:tab w:val="left" w:pos="2308"/>
          <w:tab w:val="left" w:pos="3028"/>
          <w:tab w:val="left" w:pos="3748"/>
        </w:tabs>
        <w:kinsoku w:val="0"/>
        <w:overflowPunct w:val="0"/>
        <w:spacing w:before="28" w:line="340" w:lineRule="auto"/>
        <w:ind w:left="628" w:right="5557"/>
        <w:rPr>
          <w:rFonts w:hint="default"/>
        </w:rPr>
      </w:pPr>
      <w:r>
        <w:t>投标人（电子公章）：</w:t>
      </w:r>
    </w:p>
    <w:p>
      <w:pPr>
        <w:pStyle w:val="BodyText"/>
        <w:tabs>
          <w:tab w:val="left" w:pos="2308"/>
          <w:tab w:val="left" w:pos="3028"/>
          <w:tab w:val="left" w:pos="3748"/>
        </w:tabs>
        <w:kinsoku w:val="0"/>
        <w:overflowPunct w:val="0"/>
        <w:spacing w:before="28" w:line="340" w:lineRule="auto"/>
        <w:ind w:left="628" w:right="5557"/>
        <w:rPr>
          <w:rFonts w:hint="default"/>
        </w:rPr>
      </w:pPr>
      <w:r>
        <w:t xml:space="preserve">法定代表人（签字）： </w:t>
      </w:r>
    </w:p>
    <w:p>
      <w:pPr>
        <w:pStyle w:val="BodyText"/>
        <w:tabs>
          <w:tab w:val="left" w:pos="2308"/>
          <w:tab w:val="left" w:pos="3028"/>
          <w:tab w:val="left" w:pos="3748"/>
        </w:tabs>
        <w:kinsoku w:val="0"/>
        <w:overflowPunct w:val="0"/>
        <w:spacing w:before="28" w:line="340" w:lineRule="auto"/>
        <w:ind w:left="628" w:right="5557"/>
        <w:rPr>
          <w:rFonts w:hint="default"/>
        </w:rPr>
      </w:pPr>
      <w:r>
        <w:rPr>
          <w:spacing w:val="-1"/>
        </w:rPr>
        <w:t>日期：</w:t>
      </w:r>
      <w:r>
        <w:rPr>
          <w:rFonts w:ascii="Times New Roman" w:eastAsia="Times New Roman" w:hint="default"/>
          <w:spacing w:val="-1"/>
          <w:u w:val="single"/>
        </w:rPr>
        <w:tab/>
      </w:r>
      <w:r>
        <w:t>年</w:t>
      </w:r>
      <w:r>
        <w:rPr>
          <w:rFonts w:ascii="Times New Roman" w:eastAsia="Times New Roman" w:hint="default"/>
          <w:u w:val="single"/>
        </w:rPr>
        <w:tab/>
      </w:r>
      <w:r>
        <w:t>月</w:t>
      </w:r>
      <w:r>
        <w:rPr>
          <w:rFonts w:ascii="Times New Roman" w:eastAsia="Times New Roman" w:hint="default"/>
          <w:u w:val="single"/>
        </w:rPr>
        <w:tab/>
      </w:r>
      <w:r>
        <w:t>日</w:t>
      </w:r>
    </w:p>
    <w:p>
      <w:pPr>
        <w:pStyle w:val="Heading6"/>
        <w:kinsoku w:val="0"/>
        <w:overflowPunct w:val="0"/>
        <w:spacing w:before="28" w:line="340" w:lineRule="auto"/>
        <w:ind w:left="147" w:right="156" w:firstLine="482"/>
        <w:jc w:val="both"/>
        <w:rPr>
          <w:rFonts w:hint="default"/>
          <w:b w:val="0"/>
        </w:rPr>
      </w:pPr>
      <w:r>
        <w:rPr>
          <w:spacing w:val="1"/>
          <w:w w:val="95"/>
        </w:rPr>
        <w:t>注：附授权委托代理人身份证扫描件，如投标人由法定代表人亲自签署投标文件并</w:t>
      </w:r>
      <w:r>
        <w:rPr>
          <w:spacing w:val="70"/>
          <w:w w:val="99"/>
        </w:rPr>
        <w:t xml:space="preserve"> </w:t>
      </w:r>
      <w:r>
        <w:rPr>
          <w:spacing w:val="1"/>
          <w:w w:val="95"/>
        </w:rPr>
        <w:t>参与相关活动，则不需要办理授权。如有被授权的代理人签署上述文件，则必须按本格</w:t>
      </w:r>
      <w:r>
        <w:rPr>
          <w:spacing w:val="52"/>
          <w:w w:val="99"/>
        </w:rPr>
        <w:t xml:space="preserve"> </w:t>
      </w:r>
      <w:r>
        <w:t>式规定填报并提交授权书，否则被授权的代理人将不被认可。</w:t>
      </w: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kinsoku w:val="0"/>
        <w:overflowPunct w:val="0"/>
        <w:spacing w:before="2" w:line="300" w:lineRule="exact"/>
        <w:rPr>
          <w:rFonts w:eastAsia="Times New Roman" w:hint="default"/>
          <w:sz w:val="30"/>
        </w:rPr>
      </w:pPr>
    </w:p>
    <w:p>
      <w:pPr>
        <w:kinsoku w:val="0"/>
        <w:overflowPunct w:val="0"/>
        <w:ind w:left="3321"/>
        <w:rPr>
          <w:rFonts w:hint="default"/>
        </w:rPr>
      </w:pPr>
      <w:r>
        <w:rPr>
          <w:rFonts w:eastAsia="Times New Roman" w:hint="default"/>
        </w:rPr>
        <mc:AlternateContent>
          <mc:Choice Requires="wps">
            <w:drawing>
              <wp:anchor distT="0" distB="0" distL="114300" distR="114300" simplePos="0" relativeHeight="251660288" behindDoc="1" locked="0" layoutInCell="1" allowOverlap="1">
                <wp:simplePos x="0" y="0"/>
                <wp:positionH relativeFrom="page">
                  <wp:posOffset>1877695</wp:posOffset>
                </wp:positionH>
                <wp:positionV relativeFrom="paragraph">
                  <wp:posOffset>-107315</wp:posOffset>
                </wp:positionV>
                <wp:extent cx="4229100" cy="2079625"/>
                <wp:effectExtent l="10795" t="13335" r="8255" b="12065"/>
                <wp:wrapNone/>
                <wp:docPr id="3" name="任意多边形 4"/>
                <wp:cNvGraphicFramePr/>
                <a:graphic xmlns:a="http://schemas.openxmlformats.org/drawingml/2006/main">
                  <a:graphicData uri="http://schemas.microsoft.com/office/word/2010/wordprocessingShape">
                    <wps:wsp xmlns:wps="http://schemas.microsoft.com/office/word/2010/wordprocessingShape">
                      <wps:cNvSpPr/>
                      <wps:spPr bwMode="auto">
                        <a:xfrm>
                          <a:off x="0" y="0"/>
                          <a:ext cx="4229100" cy="2079625"/>
                        </a:xfrm>
                        <a:custGeom>
                          <a:avLst/>
                          <a:gdLst>
                            <a:gd name="T0" fmla="*/ 501 w 6660"/>
                            <a:gd name="T1" fmla="*/ 1 h 3275"/>
                            <a:gd name="T2" fmla="*/ 414 w 6660"/>
                            <a:gd name="T3" fmla="*/ 15 h 3275"/>
                            <a:gd name="T4" fmla="*/ 333 w 6660"/>
                            <a:gd name="T5" fmla="*/ 42 h 3275"/>
                            <a:gd name="T6" fmla="*/ 258 w 6660"/>
                            <a:gd name="T7" fmla="*/ 81 h 3275"/>
                            <a:gd name="T8" fmla="*/ 190 w 6660"/>
                            <a:gd name="T9" fmla="*/ 131 h 3275"/>
                            <a:gd name="T10" fmla="*/ 131 w 6660"/>
                            <a:gd name="T11" fmla="*/ 190 h 3275"/>
                            <a:gd name="T12" fmla="*/ 81 w 6660"/>
                            <a:gd name="T13" fmla="*/ 258 h 3275"/>
                            <a:gd name="T14" fmla="*/ 42 w 6660"/>
                            <a:gd name="T15" fmla="*/ 333 h 3275"/>
                            <a:gd name="T16" fmla="*/ 15 w 6660"/>
                            <a:gd name="T17" fmla="*/ 414 h 3275"/>
                            <a:gd name="T18" fmla="*/ 1 w 6660"/>
                            <a:gd name="T19" fmla="*/ 501 h 3275"/>
                            <a:gd name="T20" fmla="*/ 0 w 6660"/>
                            <a:gd name="T21" fmla="*/ 2730 h 3275"/>
                            <a:gd name="T22" fmla="*/ 7 w 6660"/>
                            <a:gd name="T23" fmla="*/ 2818 h 3275"/>
                            <a:gd name="T24" fmla="*/ 27 w 6660"/>
                            <a:gd name="T25" fmla="*/ 2902 h 3275"/>
                            <a:gd name="T26" fmla="*/ 60 w 6660"/>
                            <a:gd name="T27" fmla="*/ 2980 h 3275"/>
                            <a:gd name="T28" fmla="*/ 105 w 6660"/>
                            <a:gd name="T29" fmla="*/ 3052 h 3275"/>
                            <a:gd name="T30" fmla="*/ 159 w 6660"/>
                            <a:gd name="T31" fmla="*/ 3116 h 3275"/>
                            <a:gd name="T32" fmla="*/ 223 w 6660"/>
                            <a:gd name="T33" fmla="*/ 3170 h 3275"/>
                            <a:gd name="T34" fmla="*/ 295 w 6660"/>
                            <a:gd name="T35" fmla="*/ 3215 h 3275"/>
                            <a:gd name="T36" fmla="*/ 373 w 6660"/>
                            <a:gd name="T37" fmla="*/ 3248 h 3275"/>
                            <a:gd name="T38" fmla="*/ 457 w 6660"/>
                            <a:gd name="T39" fmla="*/ 3268 h 3275"/>
                            <a:gd name="T40" fmla="*/ 546 w 6660"/>
                            <a:gd name="T41" fmla="*/ 3276 h 3275"/>
                            <a:gd name="T42" fmla="*/ 6158 w 6660"/>
                            <a:gd name="T43" fmla="*/ 3274 h 3275"/>
                            <a:gd name="T44" fmla="*/ 6245 w 6660"/>
                            <a:gd name="T45" fmla="*/ 3260 h 3275"/>
                            <a:gd name="T46" fmla="*/ 6326 w 6660"/>
                            <a:gd name="T47" fmla="*/ 3233 h 3275"/>
                            <a:gd name="T48" fmla="*/ 6401 w 6660"/>
                            <a:gd name="T49" fmla="*/ 3194 h 3275"/>
                            <a:gd name="T50" fmla="*/ 6469 w 6660"/>
                            <a:gd name="T51" fmla="*/ 3144 h 3275"/>
                            <a:gd name="T52" fmla="*/ 6528 w 6660"/>
                            <a:gd name="T53" fmla="*/ 3085 h 3275"/>
                            <a:gd name="T54" fmla="*/ 6578 w 6660"/>
                            <a:gd name="T55" fmla="*/ 3017 h 3275"/>
                            <a:gd name="T56" fmla="*/ 6617 w 6660"/>
                            <a:gd name="T57" fmla="*/ 2942 h 3275"/>
                            <a:gd name="T58" fmla="*/ 6644 w 6660"/>
                            <a:gd name="T59" fmla="*/ 2861 h 3275"/>
                            <a:gd name="T60" fmla="*/ 6658 w 6660"/>
                            <a:gd name="T61" fmla="*/ 2774 h 3275"/>
                            <a:gd name="T62" fmla="*/ 6660 w 6660"/>
                            <a:gd name="T63" fmla="*/ 546 h 3275"/>
                            <a:gd name="T64" fmla="*/ 6652 w 6660"/>
                            <a:gd name="T65" fmla="*/ 457 h 3275"/>
                            <a:gd name="T66" fmla="*/ 6632 w 6660"/>
                            <a:gd name="T67" fmla="*/ 373 h 3275"/>
                            <a:gd name="T68" fmla="*/ 6599 w 6660"/>
                            <a:gd name="T69" fmla="*/ 295 h 3275"/>
                            <a:gd name="T70" fmla="*/ 6554 w 6660"/>
                            <a:gd name="T71" fmla="*/ 223 h 3275"/>
                            <a:gd name="T72" fmla="*/ 6500 w 6660"/>
                            <a:gd name="T73" fmla="*/ 159 h 3275"/>
                            <a:gd name="T74" fmla="*/ 6436 w 6660"/>
                            <a:gd name="T75" fmla="*/ 105 h 3275"/>
                            <a:gd name="T76" fmla="*/ 6364 w 6660"/>
                            <a:gd name="T77" fmla="*/ 60 h 3275"/>
                            <a:gd name="T78" fmla="*/ 6286 w 6660"/>
                            <a:gd name="T79" fmla="*/ 27 h 3275"/>
                            <a:gd name="T80" fmla="*/ 6202 w 6660"/>
                            <a:gd name="T81" fmla="*/ 7 h 3275"/>
                            <a:gd name="T82" fmla="*/ 6114 w 6660"/>
                            <a:gd name="T83" fmla="*/ 0 h 3275"/>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fill="norm" h="3275" w="6660" stroke="1">
                              <a:moveTo>
                                <a:pt x="546" y="0"/>
                              </a:moveTo>
                              <a:lnTo>
                                <a:pt x="501" y="1"/>
                              </a:lnTo>
                              <a:lnTo>
                                <a:pt x="457" y="7"/>
                              </a:lnTo>
                              <a:lnTo>
                                <a:pt x="414" y="15"/>
                              </a:lnTo>
                              <a:lnTo>
                                <a:pt x="373" y="27"/>
                              </a:lnTo>
                              <a:lnTo>
                                <a:pt x="333" y="42"/>
                              </a:lnTo>
                              <a:lnTo>
                                <a:pt x="295" y="60"/>
                              </a:lnTo>
                              <a:lnTo>
                                <a:pt x="258" y="81"/>
                              </a:lnTo>
                              <a:lnTo>
                                <a:pt x="223" y="105"/>
                              </a:lnTo>
                              <a:lnTo>
                                <a:pt x="190" y="131"/>
                              </a:lnTo>
                              <a:lnTo>
                                <a:pt x="159" y="159"/>
                              </a:lnTo>
                              <a:lnTo>
                                <a:pt x="131" y="190"/>
                              </a:lnTo>
                              <a:lnTo>
                                <a:pt x="105" y="223"/>
                              </a:lnTo>
                              <a:lnTo>
                                <a:pt x="81" y="258"/>
                              </a:lnTo>
                              <a:lnTo>
                                <a:pt x="60" y="295"/>
                              </a:lnTo>
                              <a:lnTo>
                                <a:pt x="42" y="333"/>
                              </a:lnTo>
                              <a:lnTo>
                                <a:pt x="27" y="373"/>
                              </a:lnTo>
                              <a:lnTo>
                                <a:pt x="15" y="414"/>
                              </a:lnTo>
                              <a:lnTo>
                                <a:pt x="7" y="457"/>
                              </a:lnTo>
                              <a:lnTo>
                                <a:pt x="1" y="501"/>
                              </a:lnTo>
                              <a:lnTo>
                                <a:pt x="0" y="546"/>
                              </a:lnTo>
                              <a:lnTo>
                                <a:pt x="0" y="2730"/>
                              </a:lnTo>
                              <a:lnTo>
                                <a:pt x="1" y="2774"/>
                              </a:lnTo>
                              <a:lnTo>
                                <a:pt x="7" y="2818"/>
                              </a:lnTo>
                              <a:lnTo>
                                <a:pt x="15" y="2861"/>
                              </a:lnTo>
                              <a:lnTo>
                                <a:pt x="27" y="2902"/>
                              </a:lnTo>
                              <a:lnTo>
                                <a:pt x="42" y="2942"/>
                              </a:lnTo>
                              <a:lnTo>
                                <a:pt x="60" y="2980"/>
                              </a:lnTo>
                              <a:lnTo>
                                <a:pt x="81" y="3017"/>
                              </a:lnTo>
                              <a:lnTo>
                                <a:pt x="105" y="3052"/>
                              </a:lnTo>
                              <a:lnTo>
                                <a:pt x="131" y="3085"/>
                              </a:lnTo>
                              <a:lnTo>
                                <a:pt x="159" y="3116"/>
                              </a:lnTo>
                              <a:lnTo>
                                <a:pt x="190" y="3144"/>
                              </a:lnTo>
                              <a:lnTo>
                                <a:pt x="223" y="3170"/>
                              </a:lnTo>
                              <a:lnTo>
                                <a:pt x="258" y="3194"/>
                              </a:lnTo>
                              <a:lnTo>
                                <a:pt x="295" y="3215"/>
                              </a:lnTo>
                              <a:lnTo>
                                <a:pt x="333" y="3233"/>
                              </a:lnTo>
                              <a:lnTo>
                                <a:pt x="373" y="3248"/>
                              </a:lnTo>
                              <a:lnTo>
                                <a:pt x="414" y="3260"/>
                              </a:lnTo>
                              <a:lnTo>
                                <a:pt x="457" y="3268"/>
                              </a:lnTo>
                              <a:lnTo>
                                <a:pt x="501" y="3274"/>
                              </a:lnTo>
                              <a:lnTo>
                                <a:pt x="546" y="3276"/>
                              </a:lnTo>
                              <a:lnTo>
                                <a:pt x="6114" y="3276"/>
                              </a:lnTo>
                              <a:lnTo>
                                <a:pt x="6158" y="3274"/>
                              </a:lnTo>
                              <a:lnTo>
                                <a:pt x="6202" y="3268"/>
                              </a:lnTo>
                              <a:lnTo>
                                <a:pt x="6245" y="3260"/>
                              </a:lnTo>
                              <a:lnTo>
                                <a:pt x="6286" y="3248"/>
                              </a:lnTo>
                              <a:lnTo>
                                <a:pt x="6326" y="3233"/>
                              </a:lnTo>
                              <a:lnTo>
                                <a:pt x="6364" y="3215"/>
                              </a:lnTo>
                              <a:lnTo>
                                <a:pt x="6401" y="3194"/>
                              </a:lnTo>
                              <a:lnTo>
                                <a:pt x="6436" y="3170"/>
                              </a:lnTo>
                              <a:lnTo>
                                <a:pt x="6469" y="3144"/>
                              </a:lnTo>
                              <a:lnTo>
                                <a:pt x="6500" y="3116"/>
                              </a:lnTo>
                              <a:lnTo>
                                <a:pt x="6528" y="3085"/>
                              </a:lnTo>
                              <a:lnTo>
                                <a:pt x="6554" y="3052"/>
                              </a:lnTo>
                              <a:lnTo>
                                <a:pt x="6578" y="3017"/>
                              </a:lnTo>
                              <a:lnTo>
                                <a:pt x="6599" y="2980"/>
                              </a:lnTo>
                              <a:lnTo>
                                <a:pt x="6617" y="2942"/>
                              </a:lnTo>
                              <a:lnTo>
                                <a:pt x="6632" y="2902"/>
                              </a:lnTo>
                              <a:lnTo>
                                <a:pt x="6644" y="2861"/>
                              </a:lnTo>
                              <a:lnTo>
                                <a:pt x="6652" y="2818"/>
                              </a:lnTo>
                              <a:lnTo>
                                <a:pt x="6658" y="2774"/>
                              </a:lnTo>
                              <a:lnTo>
                                <a:pt x="6660" y="2730"/>
                              </a:lnTo>
                              <a:lnTo>
                                <a:pt x="6660" y="546"/>
                              </a:lnTo>
                              <a:lnTo>
                                <a:pt x="6658" y="501"/>
                              </a:lnTo>
                              <a:lnTo>
                                <a:pt x="6652" y="457"/>
                              </a:lnTo>
                              <a:lnTo>
                                <a:pt x="6644" y="414"/>
                              </a:lnTo>
                              <a:lnTo>
                                <a:pt x="6632" y="373"/>
                              </a:lnTo>
                              <a:lnTo>
                                <a:pt x="6617" y="333"/>
                              </a:lnTo>
                              <a:lnTo>
                                <a:pt x="6599" y="295"/>
                              </a:lnTo>
                              <a:lnTo>
                                <a:pt x="6578" y="258"/>
                              </a:lnTo>
                              <a:lnTo>
                                <a:pt x="6554" y="223"/>
                              </a:lnTo>
                              <a:lnTo>
                                <a:pt x="6528" y="190"/>
                              </a:lnTo>
                              <a:lnTo>
                                <a:pt x="6500" y="159"/>
                              </a:lnTo>
                              <a:lnTo>
                                <a:pt x="6469" y="131"/>
                              </a:lnTo>
                              <a:lnTo>
                                <a:pt x="6436" y="105"/>
                              </a:lnTo>
                              <a:lnTo>
                                <a:pt x="6401" y="81"/>
                              </a:lnTo>
                              <a:lnTo>
                                <a:pt x="6364" y="60"/>
                              </a:lnTo>
                              <a:lnTo>
                                <a:pt x="6326" y="42"/>
                              </a:lnTo>
                              <a:lnTo>
                                <a:pt x="6286" y="27"/>
                              </a:lnTo>
                              <a:lnTo>
                                <a:pt x="6245" y="15"/>
                              </a:lnTo>
                              <a:lnTo>
                                <a:pt x="6202" y="7"/>
                              </a:lnTo>
                              <a:lnTo>
                                <a:pt x="6158" y="1"/>
                              </a:lnTo>
                              <a:lnTo>
                                <a:pt x="6114" y="0"/>
                              </a:lnTo>
                              <a:lnTo>
                                <a:pt x="546" y="0"/>
                              </a:lnTo>
                              <a:close/>
                            </a:path>
                          </a:pathLst>
                        </a:custGeom>
                        <a:noFill/>
                        <a:ln w="9525">
                          <a:solidFill>
                            <a:srgbClr val="000000"/>
                          </a:solidFill>
                          <a:round/>
                        </a:ln>
                      </wps:spPr>
                      <wps:bodyPr rot="0" vert="horz" wrap="square" anchor="t" anchorCtr="0" upright="1"/>
                    </wps:wsp>
                  </a:graphicData>
                </a:graphic>
              </wp:anchor>
            </w:drawing>
          </mc:Choice>
          <mc:Fallback>
            <w:pict>
              <v:shape id="任意多边形 4" o:spid="_x0000_s1026" style="width:333pt;height:163.75pt;margin-top:-8.45pt;margin-left:147.85pt;mso-height-relative:page;mso-position-horizontal-relative:page;mso-width-relative:page;position:absolute;z-index:-251655168" coordsize="6660,3275" o:spt="100" adj="-11796480,,5400" path="m546,l501,1,457,7,414,15,373,27,333,42,295,60,258,81,223,105,190,131,159,159,131,190,105,223,81,258,60,295,42,333,27,373,15,414,7,457,1,501,,546,,2730,1,2774,7,2818,15,2861,27,2902,42,2942,60,2980,81,3017,105,3052,131,3085,159,3116,190,3144,223,3170,258,3194,295,3215,333,3233,373,3248,414,3260,457,3268,501,3274,546,3276,6114,3276,6158,3274,6202,3268,6245,3260,6286,3248,6326,3233,6364,3215,6401,3194,6436,3170,6469,3144,6500,3116,6528,3085,6554,3052,6578,3017,6599,2980,6617,2942,6632,2902,6644,2861,6652,2818,6658,2774,6660,2730,6660,546,6658,501,6652,457,6644,414,6632,373,6617,333,6599,295,6578,258,6554,223,6528,190,6500,159,6469,131,6436,105,6401,81,6364,60,6326,42,6286,27,6245,15,6202,7,6158,1,6114,,546,xe" filled="f" stroked="t" strokecolor="black">
                <v:stroke joinstyle="round"/>
                <v:path o:connecttype="custom" o:connectlocs="318135,635;262890,9525;211455,26670;163830,51435;120650,83185;83185,120650;51435,163830;26670,211455;9525,262890;635,318135;0,1733550;4445,1789430;17145,1842770;38100,1892300;66675,1938020;100965,1978660;141605,2012950;187325,2041525;236855,2062480;290195,2075180;346710,2080260;3910330,2078990;3965575,2070100;4017010,2052955;4064635,2028190;4107815,1996440;4145280,1958975;4177030,1915795;4201795,1868170;4218940,1816735;4227830,1761490;4229100,346710;4224020,290195;4211320,236855;4190365,187325;4161790,141605;4127500,100965;4086860,66675;4041140,38100;3991610,17145;3938270,4445;3882390,0" o:connectangles="0,0,0,0,0,0,0,0,0,0,0,0,0,0,0,0,0,0,0,0,0,0,0,0,0,0,0,0,0,0,0,0,0,0,0,0,0,0,0,0,0,0"/>
                <o:lock v:ext="edit" aspectratio="f"/>
              </v:shape>
            </w:pict>
          </mc:Fallback>
        </mc:AlternateContent>
      </w:r>
      <w:r>
        <w:rPr>
          <w:rFonts w:ascii="宋体" w:hAnsi="宋体"/>
          <w:b/>
        </w:rPr>
        <w:t>委托代理人有效的身份证扫描件</w:t>
      </w:r>
    </w:p>
    <w:p>
      <w:pPr>
        <w:kinsoku w:val="0"/>
        <w:overflowPunct w:val="0"/>
        <w:ind w:left="3321"/>
        <w:rPr>
          <w:rFonts w:hint="default"/>
        </w:rPr>
        <w:sectPr>
          <w:pgSz w:w="11910" w:h="16840"/>
          <w:pgMar w:top="820" w:right="1260" w:bottom="1140" w:left="1100" w:header="592" w:footer="953" w:gutter="0"/>
          <w:cols w:num="1" w:space="708"/>
        </w:sectPr>
      </w:pPr>
    </w:p>
    <w:p>
      <w:pPr>
        <w:kinsoku w:val="0"/>
        <w:overflowPunct w:val="0"/>
        <w:spacing w:before="18"/>
        <w:ind w:left="147"/>
        <w:rPr>
          <w:rFonts w:ascii="黑体" w:eastAsia="黑体" w:hAnsi="黑体" w:hint="default"/>
          <w:spacing w:val="-1"/>
          <w:sz w:val="28"/>
        </w:rPr>
      </w:pPr>
      <w:bookmarkStart w:id="22" w:name="_Toc28012"/>
      <w:r>
        <w:rPr>
          <w:rFonts w:eastAsia="Times New Roman" w:hint="default"/>
          <w:spacing w:val="-1"/>
          <w:sz w:val="28"/>
        </w:rPr>
        <w:t>4</w:t>
      </w:r>
      <w:r>
        <w:rPr>
          <w:rFonts w:ascii="黑体" w:eastAsia="黑体" w:hAnsi="黑体"/>
          <w:spacing w:val="-1"/>
          <w:sz w:val="28"/>
        </w:rPr>
        <w:t>、投标保证金交纳凭证</w:t>
      </w:r>
      <w:bookmarkEnd w:id="22"/>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kinsoku w:val="0"/>
        <w:overflowPunct w:val="0"/>
        <w:spacing w:before="18"/>
        <w:rPr>
          <w:rFonts w:eastAsia="Times New Roman" w:hint="default"/>
          <w:spacing w:val="-1"/>
          <w:sz w:val="28"/>
        </w:rPr>
      </w:pPr>
      <w:bookmarkStart w:id="23" w:name="_Toc20129"/>
    </w:p>
    <w:p>
      <w:pPr>
        <w:kinsoku w:val="0"/>
        <w:overflowPunct w:val="0"/>
        <w:spacing w:before="18"/>
        <w:ind w:left="147"/>
        <w:rPr>
          <w:rFonts w:eastAsia="Times New Roman" w:hint="default"/>
          <w:spacing w:val="-1"/>
          <w:sz w:val="28"/>
        </w:rPr>
      </w:pPr>
    </w:p>
    <w:p>
      <w:pPr>
        <w:kinsoku w:val="0"/>
        <w:overflowPunct w:val="0"/>
        <w:spacing w:before="18"/>
        <w:ind w:left="147"/>
        <w:rPr>
          <w:rFonts w:eastAsia="Times New Roman" w:hint="default"/>
          <w:spacing w:val="-1"/>
          <w:sz w:val="28"/>
        </w:rPr>
      </w:pPr>
    </w:p>
    <w:p>
      <w:pPr>
        <w:kinsoku w:val="0"/>
        <w:overflowPunct w:val="0"/>
        <w:spacing w:before="18"/>
        <w:ind w:left="147"/>
        <w:rPr>
          <w:rFonts w:ascii="黑体" w:eastAsia="黑体" w:hAnsi="黑体" w:hint="default"/>
          <w:spacing w:val="-1"/>
          <w:sz w:val="28"/>
        </w:rPr>
      </w:pPr>
      <w:r>
        <w:rPr>
          <w:rFonts w:eastAsia="Times New Roman" w:hint="default"/>
          <w:spacing w:val="-1"/>
          <w:sz w:val="28"/>
        </w:rPr>
        <w:t>5</w:t>
      </w:r>
      <w:r>
        <w:rPr>
          <w:rFonts w:ascii="黑体" w:eastAsia="黑体" w:hAnsi="黑体"/>
          <w:spacing w:val="-1"/>
          <w:sz w:val="28"/>
        </w:rPr>
        <w:t>、参加政府采购活动前</w:t>
      </w:r>
      <w:r>
        <w:rPr>
          <w:rFonts w:ascii="黑体" w:eastAsia="黑体" w:hAnsi="黑体"/>
          <w:spacing w:val="-70"/>
          <w:sz w:val="28"/>
        </w:rPr>
        <w:t xml:space="preserve"> </w:t>
      </w:r>
      <w:r>
        <w:rPr>
          <w:rFonts w:eastAsia="Times New Roman" w:hint="default"/>
          <w:sz w:val="28"/>
        </w:rPr>
        <w:t>3</w:t>
      </w:r>
      <w:r>
        <w:rPr>
          <w:rFonts w:eastAsia="Times New Roman" w:hint="default"/>
          <w:spacing w:val="-2"/>
          <w:sz w:val="28"/>
        </w:rPr>
        <w:t xml:space="preserve"> </w:t>
      </w:r>
      <w:r>
        <w:rPr>
          <w:rFonts w:ascii="黑体" w:eastAsia="黑体" w:hAnsi="黑体"/>
          <w:spacing w:val="-1"/>
          <w:sz w:val="28"/>
        </w:rPr>
        <w:t>年内，在经营活动中没有重大违法记录</w:t>
      </w:r>
      <w:bookmarkEnd w:id="23"/>
    </w:p>
    <w:p>
      <w:pPr>
        <w:pStyle w:val="BodyText"/>
        <w:tabs>
          <w:tab w:val="left" w:pos="3268"/>
        </w:tabs>
        <w:kinsoku w:val="0"/>
        <w:overflowPunct w:val="0"/>
        <w:spacing w:before="102"/>
        <w:rPr>
          <w:rFonts w:hint="default"/>
        </w:rPr>
      </w:pPr>
      <w:r>
        <w:t>致</w:t>
      </w:r>
      <w:r>
        <w:rPr>
          <w:rFonts w:ascii="Times New Roman" w:eastAsia="Times New Roman" w:hint="default"/>
          <w:u w:val="single"/>
        </w:rPr>
        <w:tab/>
      </w:r>
      <w:r>
        <w:t>（招标人名称）：</w:t>
      </w: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kinsoku w:val="0"/>
        <w:overflowPunct w:val="0"/>
        <w:spacing w:before="10" w:line="280" w:lineRule="exact"/>
        <w:rPr>
          <w:rFonts w:eastAsia="Times New Roman" w:hint="default"/>
          <w:sz w:val="28"/>
        </w:rPr>
      </w:pPr>
    </w:p>
    <w:p>
      <w:pPr>
        <w:pStyle w:val="BodyText"/>
        <w:kinsoku w:val="0"/>
        <w:overflowPunct w:val="0"/>
        <w:spacing w:before="0"/>
        <w:ind w:firstLine="3661"/>
        <w:rPr>
          <w:rFonts w:hint="default"/>
        </w:rPr>
      </w:pPr>
      <w:r>
        <w:t>（投标自行承诺）</w:t>
      </w:r>
    </w:p>
    <w:p>
      <w:pPr>
        <w:kinsoku w:val="0"/>
        <w:overflowPunct w:val="0"/>
        <w:spacing w:before="5" w:line="230" w:lineRule="exact"/>
        <w:rPr>
          <w:rFonts w:eastAsia="Times New Roman" w:hint="default"/>
          <w:sz w:val="23"/>
        </w:rPr>
      </w:pP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kinsoku w:val="0"/>
        <w:overflowPunct w:val="0"/>
        <w:spacing w:line="240" w:lineRule="exact"/>
        <w:rPr>
          <w:rFonts w:eastAsia="Times New Roman" w:hint="default"/>
        </w:rPr>
      </w:pPr>
    </w:p>
    <w:p>
      <w:pPr>
        <w:pStyle w:val="BodyText"/>
        <w:tabs>
          <w:tab w:val="left" w:pos="3940"/>
          <w:tab w:val="left" w:pos="4643"/>
          <w:tab w:val="left" w:pos="7229"/>
          <w:tab w:val="left" w:pos="7493"/>
          <w:tab w:val="left" w:pos="8367"/>
        </w:tabs>
        <w:kinsoku w:val="0"/>
        <w:overflowPunct w:val="0"/>
        <w:spacing w:before="102" w:line="340" w:lineRule="auto"/>
        <w:ind w:left="0" w:right="154"/>
        <w:jc w:val="both"/>
        <w:rPr>
          <w:rFonts w:hint="default"/>
          <w:szCs w:val="22"/>
        </w:rPr>
      </w:pPr>
    </w:p>
    <w:p>
      <w:pPr>
        <w:pStyle w:val="BodyText"/>
        <w:tabs>
          <w:tab w:val="left" w:pos="3940"/>
          <w:tab w:val="left" w:pos="4643"/>
          <w:tab w:val="left" w:pos="7229"/>
          <w:tab w:val="left" w:pos="7493"/>
          <w:tab w:val="left" w:pos="8367"/>
        </w:tabs>
        <w:kinsoku w:val="0"/>
        <w:overflowPunct w:val="0"/>
        <w:spacing w:before="102" w:line="340" w:lineRule="auto"/>
        <w:ind w:left="0" w:right="154"/>
        <w:jc w:val="both"/>
        <w:rPr>
          <w:rFonts w:hint="default"/>
          <w:szCs w:val="22"/>
        </w:rPr>
      </w:pPr>
    </w:p>
    <w:p>
      <w:pPr>
        <w:pStyle w:val="BodyText"/>
        <w:tabs>
          <w:tab w:val="left" w:pos="3940"/>
          <w:tab w:val="left" w:pos="4643"/>
          <w:tab w:val="left" w:pos="7229"/>
          <w:tab w:val="left" w:pos="7493"/>
          <w:tab w:val="left" w:pos="8367"/>
        </w:tabs>
        <w:kinsoku w:val="0"/>
        <w:overflowPunct w:val="0"/>
        <w:spacing w:before="102" w:line="340" w:lineRule="auto"/>
        <w:ind w:left="0" w:right="154" w:firstLine="240" w:firstLineChars="100"/>
        <w:jc w:val="both"/>
        <w:rPr>
          <w:rFonts w:hint="default"/>
          <w:szCs w:val="22"/>
        </w:rPr>
      </w:pPr>
      <w:r>
        <w:rPr>
          <w:szCs w:val="22"/>
        </w:rPr>
        <w:t>投标人（电子公章）：</w:t>
      </w:r>
    </w:p>
    <w:p>
      <w:pPr>
        <w:snapToGrid w:val="0"/>
        <w:spacing w:line="600" w:lineRule="exact"/>
        <w:ind w:firstLine="240" w:firstLineChars="100"/>
        <w:rPr>
          <w:rFonts w:ascii="宋体" w:hAnsi="宋体" w:hint="default"/>
          <w:color w:val="000000"/>
        </w:rPr>
      </w:pPr>
      <w:r>
        <w:rPr>
          <w:rFonts w:ascii="宋体" w:hAnsi="宋体"/>
          <w:color w:val="000000"/>
        </w:rPr>
        <w:t>法定代表人</w:t>
      </w:r>
      <w:r>
        <w:t>或委托代理人</w:t>
      </w:r>
      <w:r>
        <w:rPr>
          <w:rFonts w:ascii="宋体" w:hAnsi="宋体"/>
          <w:color w:val="000000"/>
        </w:rPr>
        <w:t>（电子签名和电子签章）：</w:t>
      </w:r>
    </w:p>
    <w:p>
      <w:pPr>
        <w:snapToGrid w:val="0"/>
        <w:spacing w:line="600" w:lineRule="exact"/>
        <w:rPr>
          <w:rFonts w:hint="default"/>
          <w:szCs w:val="22"/>
        </w:rPr>
      </w:pPr>
    </w:p>
    <w:p>
      <w:pPr>
        <w:pStyle w:val="BodyText"/>
        <w:tabs>
          <w:tab w:val="left" w:pos="1828"/>
          <w:tab w:val="left" w:pos="2548"/>
          <w:tab w:val="left" w:pos="3268"/>
        </w:tabs>
        <w:kinsoku w:val="0"/>
        <w:overflowPunct w:val="0"/>
        <w:spacing w:before="0" w:line="324" w:lineRule="auto"/>
        <w:ind w:left="1346" w:right="5078" w:hanging="1200" w:leftChars="61" w:hangingChars="500"/>
        <w:rPr>
          <w:rFonts w:hint="default"/>
        </w:rPr>
      </w:pPr>
    </w:p>
    <w:p>
      <w:pPr>
        <w:pStyle w:val="BodyText"/>
        <w:tabs>
          <w:tab w:val="left" w:pos="1828"/>
          <w:tab w:val="left" w:pos="2548"/>
          <w:tab w:val="left" w:pos="3268"/>
        </w:tabs>
        <w:kinsoku w:val="0"/>
        <w:overflowPunct w:val="0"/>
        <w:spacing w:before="0" w:line="324" w:lineRule="auto"/>
        <w:ind w:right="5078"/>
        <w:rPr>
          <w:rFonts w:hint="default"/>
        </w:rPr>
      </w:pPr>
      <w:r>
        <w:t>日期：</w:t>
      </w:r>
      <w:r>
        <w:rPr>
          <w:rFonts w:ascii="Times New Roman" w:eastAsia="Times New Roman" w:hint="default"/>
          <w:u w:val="single"/>
        </w:rPr>
        <w:tab/>
      </w:r>
      <w:r>
        <w:t>年</w:t>
      </w:r>
      <w:r>
        <w:rPr>
          <w:rFonts w:ascii="Times New Roman" w:eastAsia="Times New Roman" w:hint="default"/>
          <w:u w:val="single"/>
        </w:rPr>
        <w:tab/>
      </w:r>
      <w:r>
        <w:t>月</w:t>
      </w:r>
      <w:r>
        <w:rPr>
          <w:rFonts w:ascii="Times New Roman" w:eastAsia="Times New Roman" w:hint="default"/>
          <w:u w:val="single"/>
        </w:rPr>
        <w:tab/>
      </w:r>
      <w:r>
        <w:t xml:space="preserve">日 </w:t>
      </w:r>
    </w:p>
    <w:p>
      <w:pPr>
        <w:pStyle w:val="BodyText"/>
        <w:tabs>
          <w:tab w:val="left" w:pos="1828"/>
          <w:tab w:val="left" w:pos="2548"/>
          <w:tab w:val="left" w:pos="3268"/>
        </w:tabs>
        <w:kinsoku w:val="0"/>
        <w:overflowPunct w:val="0"/>
        <w:spacing w:before="0" w:line="324" w:lineRule="auto"/>
        <w:ind w:right="5078"/>
        <w:rPr>
          <w:rFonts w:hint="default"/>
        </w:rPr>
      </w:pPr>
    </w:p>
    <w:p>
      <w:pPr>
        <w:pStyle w:val="BodyText"/>
        <w:tabs>
          <w:tab w:val="left" w:pos="1828"/>
          <w:tab w:val="left" w:pos="2548"/>
          <w:tab w:val="left" w:pos="3268"/>
        </w:tabs>
        <w:kinsoku w:val="0"/>
        <w:overflowPunct w:val="0"/>
        <w:spacing w:before="0" w:line="324" w:lineRule="auto"/>
        <w:ind w:right="5078"/>
        <w:rPr>
          <w:rFonts w:hint="default"/>
        </w:rPr>
      </w:pPr>
    </w:p>
    <w:p>
      <w:pPr>
        <w:pStyle w:val="BodyText"/>
        <w:tabs>
          <w:tab w:val="left" w:pos="1828"/>
          <w:tab w:val="left" w:pos="2548"/>
          <w:tab w:val="left" w:pos="3268"/>
        </w:tabs>
        <w:kinsoku w:val="0"/>
        <w:overflowPunct w:val="0"/>
        <w:spacing w:before="0" w:line="324" w:lineRule="auto"/>
        <w:ind w:right="5078"/>
        <w:rPr>
          <w:rFonts w:hint="default"/>
        </w:rPr>
      </w:pPr>
    </w:p>
    <w:p>
      <w:pPr>
        <w:pStyle w:val="BodyText"/>
        <w:tabs>
          <w:tab w:val="left" w:pos="1828"/>
          <w:tab w:val="left" w:pos="2548"/>
          <w:tab w:val="left" w:pos="3268"/>
        </w:tabs>
        <w:kinsoku w:val="0"/>
        <w:overflowPunct w:val="0"/>
        <w:spacing w:before="0" w:line="324" w:lineRule="auto"/>
        <w:ind w:right="5078"/>
        <w:rPr>
          <w:rFonts w:hint="default"/>
        </w:rPr>
      </w:pPr>
    </w:p>
    <w:p>
      <w:pPr>
        <w:pStyle w:val="BodyText"/>
        <w:tabs>
          <w:tab w:val="left" w:pos="1828"/>
          <w:tab w:val="left" w:pos="2548"/>
          <w:tab w:val="left" w:pos="3268"/>
        </w:tabs>
        <w:kinsoku w:val="0"/>
        <w:overflowPunct w:val="0"/>
        <w:spacing w:before="0" w:line="324" w:lineRule="auto"/>
        <w:ind w:right="5078"/>
        <w:rPr>
          <w:rFonts w:hint="default"/>
        </w:rPr>
      </w:pPr>
    </w:p>
    <w:p>
      <w:pPr>
        <w:pStyle w:val="BodyText"/>
        <w:tabs>
          <w:tab w:val="left" w:pos="1828"/>
          <w:tab w:val="left" w:pos="2548"/>
          <w:tab w:val="left" w:pos="3268"/>
        </w:tabs>
        <w:kinsoku w:val="0"/>
        <w:overflowPunct w:val="0"/>
        <w:spacing w:before="0" w:line="324" w:lineRule="auto"/>
        <w:ind w:left="0" w:right="5078" w:firstLine="0" w:leftChars="0" w:firstLineChars="0"/>
        <w:rPr>
          <w:rFonts w:hint="default"/>
        </w:rPr>
      </w:pPr>
    </w:p>
    <w:p>
      <w:pPr>
        <w:pStyle w:val="NormalIndent"/>
        <w:spacing w:before="240" w:beforeLines="100"/>
        <w:ind w:firstLine="562"/>
        <w:rPr>
          <w:rFonts w:ascii="宋体" w:hAnsi="宋体" w:hint="default"/>
          <w:b/>
          <w:color w:val="000000"/>
          <w:sz w:val="28"/>
          <w:szCs w:val="28"/>
        </w:rPr>
      </w:pPr>
      <w:r>
        <w:rPr>
          <w:rFonts w:ascii="宋体" w:hAnsi="宋体"/>
          <w:b/>
          <w:color w:val="000000"/>
          <w:sz w:val="28"/>
          <w:szCs w:val="28"/>
        </w:rPr>
        <w:t>6、小微企业声明函</w:t>
      </w:r>
    </w:p>
    <w:p>
      <w:pPr>
        <w:pStyle w:val="NormalIndent"/>
        <w:spacing w:before="240" w:beforeLines="100"/>
        <w:ind w:firstLine="0" w:firstLineChars="0"/>
        <w:jc w:val="center"/>
        <w:rPr>
          <w:rFonts w:ascii="宋体" w:hAnsi="宋体" w:hint="default"/>
          <w:b/>
          <w:color w:val="000000"/>
          <w:sz w:val="28"/>
          <w:szCs w:val="28"/>
        </w:rPr>
      </w:pPr>
      <w:r>
        <w:rPr>
          <w:rFonts w:ascii="宋体" w:hAnsi="宋体"/>
          <w:b/>
          <w:color w:val="000000"/>
          <w:sz w:val="28"/>
          <w:szCs w:val="28"/>
        </w:rPr>
        <w:t>小微企业声明函</w:t>
      </w:r>
    </w:p>
    <w:p>
      <w:pPr>
        <w:pStyle w:val="NormalWeb"/>
        <w:spacing w:line="560" w:lineRule="exact"/>
        <w:rPr>
          <w:rFonts w:hint="default"/>
          <w:color w:val="000000"/>
        </w:rPr>
      </w:pPr>
      <w:r>
        <w:rPr>
          <w:color w:val="000000"/>
        </w:rPr>
        <w:t>　　本公司郑重声明，根据《政府采购促进中小企业发展暂行办法》(财库[2011]181号)的规定，本公司为______(请填写：小型、微型)企业。即，本公司同时满足以下条件：</w:t>
      </w:r>
    </w:p>
    <w:p>
      <w:pPr>
        <w:pStyle w:val="NormalWeb"/>
        <w:spacing w:line="560" w:lineRule="exact"/>
        <w:rPr>
          <w:rFonts w:hint="default"/>
          <w:color w:val="000000"/>
        </w:rPr>
      </w:pPr>
      <w:r>
        <w:rPr>
          <w:color w:val="000000"/>
        </w:rPr>
        <w:t>　　1.根据《工业和信息化部、国家统计局、国家发展和改革委员会、财政部关于印发中小企业划型标准规定的通知》(工信部联企业[2011]300号)规定的划分标准，本公司为______(请填写：小型、微型)企业。</w:t>
      </w:r>
    </w:p>
    <w:p>
      <w:pPr>
        <w:pStyle w:val="NormalWeb"/>
        <w:spacing w:line="560" w:lineRule="exact"/>
        <w:rPr>
          <w:rFonts w:hint="default"/>
          <w:color w:val="000000"/>
        </w:rPr>
      </w:pPr>
      <w:r>
        <w:rPr>
          <w:color w:val="000000"/>
        </w:rPr>
        <w:t>　　2.本公司参加______单位的______项目采购活动提供本企业制造的货物，由本企业承担工程、提供服务，或者提供其他______(请填写：小型、微型)企业制造的货物。本条所称货物不包括使用大型企业注册商标的货物。</w:t>
      </w:r>
    </w:p>
    <w:p>
      <w:pPr>
        <w:pStyle w:val="NormalWeb"/>
        <w:spacing w:line="560" w:lineRule="exact"/>
        <w:rPr>
          <w:rFonts w:hint="default"/>
          <w:color w:val="000000"/>
        </w:rPr>
      </w:pPr>
      <w:r>
        <w:rPr>
          <w:color w:val="000000"/>
        </w:rPr>
        <w:t>　　本公司对上述声明的真实性负责。如有虚假，将依法承担相应责任。</w:t>
      </w:r>
    </w:p>
    <w:p>
      <w:pPr>
        <w:snapToGrid w:val="0"/>
        <w:spacing w:line="600" w:lineRule="exact"/>
        <w:rPr>
          <w:rFonts w:hAnsi="宋体" w:hint="default"/>
          <w:color w:val="000000"/>
          <w:sz w:val="28"/>
          <w:szCs w:val="28"/>
        </w:rPr>
      </w:pPr>
    </w:p>
    <w:p>
      <w:pPr>
        <w:snapToGrid w:val="0"/>
        <w:spacing w:line="600" w:lineRule="exact"/>
        <w:ind w:firstLine="510"/>
        <w:rPr>
          <w:rFonts w:hAnsi="宋体" w:hint="default"/>
          <w:color w:val="000000"/>
          <w:sz w:val="28"/>
          <w:szCs w:val="28"/>
        </w:rPr>
      </w:pPr>
    </w:p>
    <w:p>
      <w:pPr>
        <w:snapToGrid w:val="0"/>
        <w:spacing w:line="600" w:lineRule="exact"/>
        <w:ind w:firstLine="510"/>
        <w:rPr>
          <w:rFonts w:hAnsi="宋体" w:hint="default"/>
          <w:color w:val="000000"/>
          <w:sz w:val="28"/>
          <w:szCs w:val="28"/>
        </w:rPr>
      </w:pPr>
    </w:p>
    <w:p>
      <w:pPr>
        <w:snapToGrid w:val="0"/>
        <w:spacing w:line="600" w:lineRule="exact"/>
        <w:ind w:firstLine="510"/>
        <w:rPr>
          <w:rFonts w:ascii="宋体" w:hAnsi="宋体" w:hint="default"/>
          <w:color w:val="000000"/>
        </w:rPr>
      </w:pPr>
      <w:r>
        <w:rPr>
          <w:rFonts w:ascii="宋体" w:hAnsi="宋体"/>
          <w:color w:val="000000"/>
        </w:rPr>
        <w:t>法定代表人</w:t>
      </w:r>
      <w:r>
        <w:t>或委托代理人</w:t>
      </w:r>
      <w:r>
        <w:rPr>
          <w:rFonts w:ascii="宋体" w:hAnsi="宋体"/>
          <w:color w:val="000000"/>
        </w:rPr>
        <w:t>（电子签名和电子签章）：</w:t>
      </w:r>
    </w:p>
    <w:p>
      <w:pPr>
        <w:snapToGrid w:val="0"/>
        <w:spacing w:line="600" w:lineRule="exact"/>
        <w:ind w:firstLine="510"/>
        <w:rPr>
          <w:rFonts w:ascii="宋体" w:hAnsi="宋体" w:hint="default"/>
          <w:color w:val="000000"/>
        </w:rPr>
      </w:pPr>
      <w:r>
        <w:rPr>
          <w:rFonts w:ascii="宋体" w:hAnsi="宋体"/>
          <w:color w:val="000000"/>
        </w:rPr>
        <w:t>供应商（电子公章）：</w:t>
      </w:r>
    </w:p>
    <w:p>
      <w:pPr>
        <w:snapToGrid w:val="0"/>
        <w:spacing w:line="600" w:lineRule="exact"/>
        <w:ind w:firstLine="510"/>
        <w:rPr>
          <w:rFonts w:ascii="宋体" w:hAnsi="宋体" w:hint="default"/>
          <w:color w:val="000000"/>
          <w:u w:val="single"/>
        </w:rPr>
      </w:pPr>
      <w:r>
        <w:rPr>
          <w:rFonts w:ascii="宋体" w:hAnsi="宋体"/>
          <w:color w:val="000000"/>
        </w:rPr>
        <w:t>日  期：</w:t>
      </w:r>
    </w:p>
    <w:p>
      <w:pPr>
        <w:pStyle w:val="BodyText"/>
        <w:rPr>
          <w:rFonts w:hint="default"/>
        </w:rPr>
      </w:pPr>
    </w:p>
    <w:p>
      <w:pPr>
        <w:pStyle w:val="PlainText"/>
        <w:spacing w:line="400" w:lineRule="exact"/>
        <w:rPr>
          <w:rFonts w:hAnsi="宋体" w:hint="default"/>
          <w:b/>
          <w:color w:val="000000"/>
          <w:sz w:val="28"/>
          <w:szCs w:val="28"/>
        </w:rPr>
      </w:pPr>
    </w:p>
    <w:p>
      <w:pPr>
        <w:rPr>
          <w:rFonts w:hint="default"/>
          <w:spacing w:val="-1"/>
          <w:sz w:val="28"/>
          <w:szCs w:val="22"/>
        </w:rPr>
      </w:pPr>
      <w:r>
        <w:rPr>
          <w:rFonts w:hAnsi="宋体"/>
          <w:color w:val="000000"/>
          <w:sz w:val="36"/>
          <w:szCs w:val="36"/>
        </w:rPr>
        <w:br w:type="page"/>
      </w:r>
      <w:bookmarkStart w:id="24" w:name="_Toc9655"/>
      <w:r>
        <w:rPr>
          <w:spacing w:val="-1"/>
          <w:sz w:val="28"/>
          <w:szCs w:val="22"/>
        </w:rPr>
        <w:t>7、满足招标文件要求还需要提供的资格证明文件（扫描件）</w:t>
      </w:r>
      <w:bookmarkEnd w:id="24"/>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320" w:firstLineChars="100"/>
        <w:rPr>
          <w:rFonts w:hint="default"/>
          <w:b/>
          <w:bCs/>
          <w:sz w:val="32"/>
          <w:szCs w:val="32"/>
        </w:rPr>
      </w:pPr>
    </w:p>
    <w:p>
      <w:pPr>
        <w:pStyle w:val="BodyText"/>
        <w:ind w:left="0" w:firstLine="0" w:leftChars="0" w:firstLineChars="0"/>
        <w:rPr>
          <w:rFonts w:hint="default"/>
          <w:b/>
          <w:bCs/>
          <w:sz w:val="32"/>
          <w:szCs w:val="32"/>
        </w:rPr>
      </w:pPr>
    </w:p>
    <w:p>
      <w:pPr>
        <w:pStyle w:val="BodyText"/>
        <w:numPr>
          <w:ilvl w:val="0"/>
          <w:numId w:val="4"/>
        </w:numPr>
        <w:ind w:left="0" w:firstLine="320" w:firstLineChars="100"/>
        <w:rPr>
          <w:rFonts w:hint="default"/>
          <w:b/>
          <w:bCs/>
          <w:sz w:val="32"/>
          <w:szCs w:val="32"/>
        </w:rPr>
      </w:pPr>
      <w:r>
        <w:rPr>
          <w:b/>
          <w:bCs/>
          <w:sz w:val="32"/>
          <w:szCs w:val="32"/>
        </w:rPr>
        <w:t>技术文件</w:t>
      </w:r>
    </w:p>
    <w:p>
      <w:pPr>
        <w:spacing w:line="360" w:lineRule="auto"/>
        <w:ind w:firstLine="480" w:firstLineChars="200"/>
        <w:rPr>
          <w:rFonts w:ascii="宋体" w:hAnsi="宋体" w:hint="default"/>
          <w:szCs w:val="21"/>
        </w:rPr>
      </w:pPr>
      <w:r>
        <w:rPr>
          <w:rFonts w:ascii="宋体" w:hAnsi="宋体"/>
          <w:szCs w:val="21"/>
        </w:rPr>
        <w:t>应包括以下内容（如果有）：</w:t>
      </w:r>
    </w:p>
    <w:p>
      <w:pPr>
        <w:spacing w:line="360" w:lineRule="auto"/>
        <w:ind w:firstLine="480" w:firstLineChars="200"/>
        <w:rPr>
          <w:rFonts w:ascii="宋体" w:hAnsi="宋体" w:hint="default"/>
          <w:szCs w:val="21"/>
        </w:rPr>
      </w:pPr>
      <w:r>
        <w:rPr>
          <w:rFonts w:ascii="宋体" w:hAnsi="宋体"/>
          <w:szCs w:val="21"/>
        </w:rPr>
        <w:t>1. 投标人基本情况（投标人的组织机构、生产能力、主要加工机具装备等）概述；</w:t>
      </w:r>
    </w:p>
    <w:p>
      <w:pPr>
        <w:spacing w:line="360" w:lineRule="auto"/>
        <w:ind w:firstLine="480" w:firstLineChars="200"/>
        <w:rPr>
          <w:rFonts w:ascii="宋体" w:hAnsi="宋体" w:hint="default"/>
          <w:szCs w:val="21"/>
        </w:rPr>
      </w:pPr>
      <w:r>
        <w:rPr>
          <w:rFonts w:ascii="宋体" w:hAnsi="宋体"/>
          <w:szCs w:val="21"/>
        </w:rPr>
        <w:t>2. 货物主要技术指标、参数及性能的详细说明；原材料选择、设计（使用）寿命；外购/外协件制造厂、产地；</w:t>
      </w:r>
    </w:p>
    <w:p>
      <w:pPr>
        <w:spacing w:line="360" w:lineRule="auto"/>
        <w:ind w:firstLine="480" w:firstLineChars="200"/>
        <w:rPr>
          <w:rFonts w:ascii="宋体" w:hAnsi="宋体" w:hint="default"/>
          <w:szCs w:val="21"/>
        </w:rPr>
      </w:pPr>
      <w:r>
        <w:rPr>
          <w:rFonts w:ascii="宋体" w:hAnsi="宋体"/>
          <w:szCs w:val="21"/>
        </w:rPr>
        <w:t>3. 货物设计、制造、检验（测）、试验、验收、包装、运输、储存及试车等拟采用的标准、规范和方式；</w:t>
      </w:r>
    </w:p>
    <w:p>
      <w:pPr>
        <w:spacing w:line="360" w:lineRule="auto"/>
        <w:ind w:firstLine="480" w:firstLineChars="200"/>
        <w:rPr>
          <w:rFonts w:ascii="宋体" w:hAnsi="宋体" w:hint="default"/>
          <w:szCs w:val="21"/>
        </w:rPr>
      </w:pPr>
      <w:r>
        <w:rPr>
          <w:rFonts w:ascii="宋体" w:hAnsi="宋体"/>
          <w:szCs w:val="21"/>
        </w:rPr>
        <w:t>4. 所投货物的技术彩页或有效的宣传资料；</w:t>
      </w:r>
    </w:p>
    <w:p>
      <w:pPr>
        <w:spacing w:line="360" w:lineRule="auto"/>
        <w:ind w:firstLine="480" w:firstLineChars="200"/>
        <w:rPr>
          <w:rFonts w:ascii="宋体" w:hAnsi="宋体" w:hint="default"/>
          <w:szCs w:val="21"/>
        </w:rPr>
      </w:pPr>
      <w:r>
        <w:rPr>
          <w:rFonts w:ascii="宋体" w:hAnsi="宋体"/>
          <w:szCs w:val="21"/>
        </w:rPr>
        <w:t>5. 服务计划及说明；货物运输、调换、进度计划；</w:t>
      </w:r>
    </w:p>
    <w:p>
      <w:pPr>
        <w:spacing w:line="360" w:lineRule="auto"/>
        <w:ind w:firstLine="480" w:firstLineChars="200"/>
        <w:rPr>
          <w:rFonts w:ascii="宋体" w:hAnsi="宋体" w:hint="default"/>
          <w:szCs w:val="21"/>
        </w:rPr>
      </w:pPr>
      <w:r>
        <w:rPr>
          <w:rFonts w:ascii="宋体" w:hAnsi="宋体"/>
          <w:szCs w:val="21"/>
        </w:rPr>
        <w:t>6.</w:t>
      </w:r>
      <w:r>
        <w:rPr>
          <w:rFonts w:ascii="宋体" w:hAnsi="宋体"/>
        </w:rPr>
        <w:t xml:space="preserve"> 投标人需</w:t>
      </w:r>
      <w:r>
        <w:rPr>
          <w:rFonts w:ascii="宋体" w:hAnsi="宋体"/>
          <w:szCs w:val="21"/>
        </w:rPr>
        <w:t>承诺有质量疑问时，进行破坏性检测。</w:t>
      </w:r>
    </w:p>
    <w:p>
      <w:pPr>
        <w:spacing w:line="360" w:lineRule="auto"/>
        <w:ind w:firstLine="480" w:firstLineChars="200"/>
        <w:rPr>
          <w:rFonts w:ascii="宋体" w:hAnsi="宋体" w:hint="default"/>
          <w:szCs w:val="21"/>
        </w:rPr>
      </w:pPr>
      <w:r>
        <w:rPr>
          <w:rFonts w:ascii="宋体" w:hAnsi="宋体"/>
          <w:szCs w:val="21"/>
        </w:rPr>
        <w:t>7.投标人需提供针对本项目提供货物的质量检测报告书。</w:t>
      </w:r>
    </w:p>
    <w:p>
      <w:pPr>
        <w:spacing w:line="360" w:lineRule="auto"/>
        <w:ind w:firstLine="480" w:firstLineChars="200"/>
        <w:rPr>
          <w:rFonts w:ascii="宋体" w:hAnsi="宋体" w:hint="default"/>
          <w:szCs w:val="21"/>
        </w:rPr>
      </w:pPr>
      <w:r>
        <w:rPr>
          <w:rFonts w:ascii="宋体" w:hAnsi="宋体"/>
          <w:szCs w:val="21"/>
        </w:rPr>
        <w:t>……</w:t>
      </w:r>
    </w:p>
    <w:p>
      <w:pPr>
        <w:rPr>
          <w:rFonts w:hAnsi="宋体" w:hint="default"/>
          <w:szCs w:val="21"/>
        </w:rPr>
      </w:pPr>
    </w:p>
    <w:p>
      <w:pPr>
        <w:pStyle w:val="BodyText"/>
        <w:ind w:left="240" w:leftChars="100"/>
        <w:rPr>
          <w:rFonts w:hint="default"/>
          <w:b/>
          <w:bCs/>
          <w:sz w:val="32"/>
          <w:szCs w:val="32"/>
        </w:rPr>
      </w:pPr>
    </w:p>
    <w:p>
      <w:pPr>
        <w:pStyle w:val="BodyText"/>
        <w:ind w:left="240" w:leftChars="100"/>
        <w:rPr>
          <w:rFonts w:hint="default"/>
          <w:b/>
          <w:bCs/>
          <w:sz w:val="32"/>
          <w:szCs w:val="32"/>
        </w:rPr>
      </w:pPr>
    </w:p>
    <w:p>
      <w:pPr>
        <w:pStyle w:val="BodyText"/>
        <w:ind w:left="240" w:leftChars="100"/>
        <w:rPr>
          <w:rFonts w:hint="default"/>
          <w:b/>
          <w:bCs/>
          <w:sz w:val="32"/>
          <w:szCs w:val="32"/>
        </w:rPr>
      </w:pPr>
    </w:p>
    <w:p>
      <w:pPr>
        <w:pStyle w:val="BodyText"/>
        <w:ind w:left="240" w:leftChars="100"/>
        <w:rPr>
          <w:rFonts w:hint="default"/>
          <w:b/>
          <w:bCs/>
          <w:sz w:val="32"/>
          <w:szCs w:val="32"/>
        </w:rPr>
      </w:pPr>
    </w:p>
    <w:p>
      <w:pPr>
        <w:pStyle w:val="BodyText"/>
        <w:ind w:left="240" w:leftChars="100"/>
        <w:rPr>
          <w:rFonts w:hint="default"/>
          <w:b/>
          <w:bCs/>
          <w:sz w:val="32"/>
          <w:szCs w:val="32"/>
        </w:rPr>
      </w:pPr>
    </w:p>
    <w:p>
      <w:pPr>
        <w:pStyle w:val="BodyText"/>
        <w:ind w:left="240" w:leftChars="100"/>
        <w:rPr>
          <w:rFonts w:hint="default"/>
          <w:b/>
          <w:bCs/>
          <w:sz w:val="32"/>
          <w:szCs w:val="32"/>
        </w:rPr>
      </w:pPr>
    </w:p>
    <w:p>
      <w:pPr>
        <w:pStyle w:val="BodyText"/>
        <w:ind w:left="240" w:leftChars="100"/>
        <w:rPr>
          <w:rFonts w:hint="default"/>
          <w:b/>
          <w:bCs/>
          <w:sz w:val="32"/>
          <w:szCs w:val="32"/>
        </w:rPr>
      </w:pPr>
    </w:p>
    <w:p>
      <w:pPr>
        <w:pStyle w:val="BodyText"/>
        <w:ind w:left="0" w:firstLine="0" w:leftChars="0" w:firstLineChars="0"/>
        <w:rPr>
          <w:rFonts w:hint="default"/>
          <w:b/>
          <w:bCs/>
          <w:sz w:val="32"/>
          <w:szCs w:val="32"/>
        </w:rPr>
      </w:pPr>
    </w:p>
    <w:p>
      <w:pPr>
        <w:pStyle w:val="a"/>
        <w:ind w:left="0" w:firstLine="0" w:leftChars="0" w:firstLineChars="0"/>
        <w:rPr>
          <w:rFonts w:hint="default"/>
        </w:rPr>
      </w:pPr>
    </w:p>
    <w:p>
      <w:pPr>
        <w:pStyle w:val="BodyText"/>
        <w:numPr>
          <w:ilvl w:val="0"/>
          <w:numId w:val="4"/>
        </w:numPr>
        <w:ind w:left="0" w:firstLine="320" w:firstLineChars="100"/>
        <w:rPr>
          <w:rFonts w:hint="default"/>
          <w:b/>
          <w:bCs/>
          <w:sz w:val="32"/>
          <w:szCs w:val="32"/>
        </w:rPr>
      </w:pPr>
      <w:r>
        <w:rPr>
          <w:b/>
          <w:bCs/>
          <w:sz w:val="32"/>
          <w:szCs w:val="32"/>
        </w:rPr>
        <w:t>商务部分</w:t>
      </w:r>
    </w:p>
    <w:p>
      <w:pPr>
        <w:kinsoku w:val="0"/>
        <w:overflowPunct w:val="0"/>
        <w:spacing w:before="18"/>
        <w:rPr>
          <w:rFonts w:eastAsia="Times New Roman" w:hint="default"/>
        </w:rPr>
      </w:pPr>
      <w:r>
        <w:rPr>
          <w:rFonts w:eastAsia="Times New Roman" w:hint="default"/>
          <w:spacing w:val="-1"/>
          <w:sz w:val="28"/>
        </w:rPr>
        <w:t>1</w:t>
      </w:r>
      <w:r>
        <w:rPr>
          <w:rFonts w:ascii="黑体" w:eastAsia="黑体" w:hAnsi="黑体"/>
          <w:spacing w:val="-1"/>
          <w:sz w:val="28"/>
        </w:rPr>
        <w:t>、投标函</w:t>
      </w:r>
    </w:p>
    <w:p>
      <w:pPr>
        <w:kinsoku w:val="0"/>
        <w:overflowPunct w:val="0"/>
        <w:spacing w:before="7" w:line="240" w:lineRule="exact"/>
        <w:rPr>
          <w:rFonts w:eastAsia="Times New Roman" w:hint="default"/>
        </w:rPr>
      </w:pPr>
    </w:p>
    <w:p>
      <w:pPr>
        <w:kinsoku w:val="0"/>
        <w:overflowPunct w:val="0"/>
        <w:spacing w:line="360" w:lineRule="auto"/>
        <w:rPr>
          <w:rFonts w:hint="default"/>
          <w:b/>
          <w:w w:val="99"/>
        </w:rPr>
      </w:pPr>
      <w:r>
        <w:t>致</w:t>
      </w:r>
      <w:r>
        <w:rPr>
          <w:rFonts w:eastAsia="Times New Roman" w:hint="default"/>
          <w:u w:val="single"/>
        </w:rPr>
        <w:tab/>
      </w:r>
      <w:r>
        <w:rPr>
          <w:rFonts w:eastAsia="Times New Roman" w:hint="default"/>
          <w:u w:val="single"/>
        </w:rPr>
        <w:tab/>
      </w:r>
      <w:r>
        <w:t>（招标人名称）</w:t>
      </w:r>
      <w:r>
        <w:rPr>
          <w:b/>
        </w:rPr>
        <w:t>：</w:t>
      </w:r>
      <w:r>
        <w:rPr>
          <w:rFonts w:hint="default"/>
          <w:b/>
          <w:w w:val="99"/>
        </w:rPr>
        <w:t xml:space="preserve"> </w:t>
      </w:r>
    </w:p>
    <w:p>
      <w:pPr>
        <w:kinsoku w:val="0"/>
        <w:overflowPunct w:val="0"/>
        <w:spacing w:line="360" w:lineRule="auto"/>
        <w:ind w:firstLine="720" w:firstLineChars="300"/>
        <w:rPr>
          <w:rFonts w:eastAsia="Times New Roman" w:hint="default"/>
        </w:rPr>
      </w:pPr>
      <w:r>
        <w:t>我单位（公司）决定参加贵方代理的</w:t>
      </w:r>
      <w:r>
        <w:rPr>
          <w:u w:val="single"/>
        </w:rPr>
        <w:t>项目名称</w:t>
      </w:r>
      <w:r>
        <w:t>（项目编号）</w:t>
      </w:r>
      <w:r>
        <w:rPr>
          <w:rFonts w:hint="default"/>
        </w:rPr>
        <w:t>”</w:t>
      </w:r>
      <w:r>
        <w:t>的招标采购活动，并同时由法定代表人</w:t>
      </w:r>
      <w:r>
        <w:rPr>
          <w:rFonts w:hint="default"/>
          <w:u w:val="single"/>
        </w:rPr>
        <w:t xml:space="preserve">            </w:t>
      </w:r>
      <w:r>
        <w:t>（或法定代表人正式授权的委托代理人</w:t>
      </w:r>
      <w:r>
        <w:rPr>
          <w:rFonts w:hint="default"/>
          <w:u w:val="single"/>
        </w:rPr>
        <w:t xml:space="preserve">        </w:t>
      </w:r>
      <w:r>
        <w:t>）提交投标文件</w:t>
      </w:r>
      <w:r>
        <w:rPr>
          <w:rFonts w:hint="default"/>
          <w:u w:val="single"/>
        </w:rPr>
        <w:t xml:space="preserve">         </w:t>
      </w:r>
      <w:r>
        <w:t>份，包括以</w:t>
      </w:r>
      <w:r>
        <w:rPr>
          <w:rFonts w:hint="default"/>
        </w:rPr>
        <w:t xml:space="preserve"> </w:t>
      </w:r>
      <w:r>
        <w:t>下内容：</w:t>
      </w:r>
    </w:p>
    <w:p>
      <w:pPr>
        <w:kinsoku w:val="0"/>
        <w:overflowPunct w:val="0"/>
        <w:spacing w:line="360" w:lineRule="auto"/>
        <w:rPr>
          <w:rFonts w:eastAsia="Times New Roman" w:hint="default"/>
        </w:rPr>
      </w:pPr>
      <w:r>
        <w:t>（</w:t>
      </w:r>
      <w:r>
        <w:rPr>
          <w:rFonts w:hint="default"/>
        </w:rPr>
        <w:t>1</w:t>
      </w:r>
      <w:r>
        <w:t>）报价一览表；</w:t>
      </w:r>
    </w:p>
    <w:p>
      <w:pPr>
        <w:kinsoku w:val="0"/>
        <w:overflowPunct w:val="0"/>
        <w:spacing w:line="360" w:lineRule="auto"/>
        <w:rPr>
          <w:rFonts w:eastAsia="Times New Roman" w:hint="default"/>
        </w:rPr>
      </w:pPr>
      <w:r>
        <w:t>（</w:t>
      </w:r>
      <w:r>
        <w:rPr>
          <w:rFonts w:hint="default"/>
        </w:rPr>
        <w:t>2</w:t>
      </w:r>
      <w:r>
        <w:t>）营业执照或组织机构代码证复印件（加盖公章）；</w:t>
      </w:r>
    </w:p>
    <w:p>
      <w:pPr>
        <w:kinsoku w:val="0"/>
        <w:overflowPunct w:val="0"/>
        <w:spacing w:line="360" w:lineRule="auto"/>
        <w:rPr>
          <w:rFonts w:eastAsia="Times New Roman" w:hint="default"/>
        </w:rPr>
      </w:pPr>
      <w:r>
        <w:t>（</w:t>
      </w:r>
      <w:r>
        <w:rPr>
          <w:rFonts w:hint="default"/>
        </w:rPr>
        <w:t>3</w:t>
      </w:r>
      <w:r>
        <w:t>）法定代表人身份证明书原件及身份证复印件；</w:t>
      </w:r>
    </w:p>
    <w:p>
      <w:pPr>
        <w:kinsoku w:val="0"/>
        <w:overflowPunct w:val="0"/>
        <w:spacing w:line="360" w:lineRule="auto"/>
        <w:rPr>
          <w:rFonts w:eastAsia="Times New Roman" w:hint="default"/>
        </w:rPr>
      </w:pPr>
      <w:r>
        <w:t>（</w:t>
      </w:r>
      <w:r>
        <w:rPr>
          <w:rFonts w:hint="default"/>
        </w:rPr>
        <w:t>4</w:t>
      </w:r>
      <w:r>
        <w:t>）法定代表人授权委托书原件及委托代理人身份证复印件（委托代理人参加投标</w:t>
      </w:r>
      <w:r>
        <w:rPr>
          <w:rFonts w:hint="default"/>
        </w:rPr>
        <w:t xml:space="preserve"> </w:t>
      </w:r>
      <w:r>
        <w:t>时须提供）；</w:t>
      </w:r>
    </w:p>
    <w:p>
      <w:pPr>
        <w:kinsoku w:val="0"/>
        <w:overflowPunct w:val="0"/>
        <w:spacing w:line="360" w:lineRule="auto"/>
        <w:rPr>
          <w:rFonts w:eastAsia="Times New Roman" w:hint="default"/>
        </w:rPr>
      </w:pPr>
      <w:r>
        <w:t>（</w:t>
      </w:r>
      <w:r>
        <w:rPr>
          <w:rFonts w:hint="default"/>
        </w:rPr>
        <w:t>5</w:t>
      </w:r>
      <w:r>
        <w:t>）投标保证书；</w:t>
      </w:r>
    </w:p>
    <w:p>
      <w:pPr>
        <w:kinsoku w:val="0"/>
        <w:overflowPunct w:val="0"/>
        <w:spacing w:line="360" w:lineRule="auto"/>
        <w:rPr>
          <w:rFonts w:eastAsia="Times New Roman" w:hint="default"/>
        </w:rPr>
      </w:pPr>
      <w:r>
        <w:t>（</w:t>
      </w:r>
      <w:r>
        <w:rPr>
          <w:rFonts w:hint="default"/>
        </w:rPr>
        <w:t>7</w:t>
      </w:r>
      <w:r>
        <w:t>）其他招标文件要求及供应商认为需要提供的资料</w:t>
      </w:r>
      <w:r>
        <w:rPr>
          <w:rFonts w:hint="default"/>
        </w:rPr>
        <w:t>………………</w:t>
      </w:r>
      <w:r>
        <w:t>（请供应商根据实际提交内容一一列明）</w:t>
      </w:r>
      <w:r>
        <w:rPr>
          <w:rFonts w:hint="default"/>
        </w:rPr>
        <w:t xml:space="preserve"> </w:t>
      </w:r>
      <w:r>
        <w:t>我单位（或公司）同意以下事项：</w:t>
      </w:r>
    </w:p>
    <w:p>
      <w:pPr>
        <w:kinsoku w:val="0"/>
        <w:overflowPunct w:val="0"/>
        <w:spacing w:line="360" w:lineRule="auto"/>
        <w:rPr>
          <w:rFonts w:hint="default"/>
        </w:rPr>
      </w:pPr>
      <w:r>
        <w:rPr>
          <w:rFonts w:hint="default"/>
        </w:rPr>
        <w:t>1</w:t>
      </w:r>
      <w:r>
        <w:t>、本次投标报价（（人民币）小写：</w:t>
      </w:r>
      <w:r>
        <w:rPr>
          <w:rFonts w:eastAsia="Times New Roman" w:hint="default"/>
          <w:u w:val="single"/>
        </w:rPr>
        <w:tab/>
      </w:r>
      <w:r>
        <w:rPr>
          <w:rFonts w:hint="default"/>
          <w:u w:val="single"/>
        </w:rPr>
        <w:t xml:space="preserve">         </w:t>
      </w:r>
      <w:r>
        <w:t>元（大写：</w:t>
      </w:r>
      <w:r>
        <w:rPr>
          <w:rFonts w:hint="default"/>
          <w:u w:val="single"/>
        </w:rPr>
        <w:t xml:space="preserve">       </w:t>
      </w:r>
      <w:r>
        <w:t>）；</w:t>
      </w:r>
    </w:p>
    <w:p>
      <w:pPr>
        <w:kinsoku w:val="0"/>
        <w:overflowPunct w:val="0"/>
        <w:spacing w:line="360" w:lineRule="auto"/>
        <w:rPr>
          <w:rFonts w:eastAsia="Times New Roman" w:hint="default"/>
        </w:rPr>
      </w:pPr>
      <w:r>
        <w:rPr>
          <w:rFonts w:hint="default"/>
        </w:rPr>
        <w:t>2</w:t>
      </w:r>
      <w:r>
        <w:t>、我方理解并认可招标文件的全部内容，若我方参加本项目投标，不再对招标文件提出如何异议；</w:t>
      </w:r>
    </w:p>
    <w:p>
      <w:pPr>
        <w:kinsoku w:val="0"/>
        <w:overflowPunct w:val="0"/>
        <w:spacing w:line="360" w:lineRule="auto"/>
        <w:rPr>
          <w:rFonts w:eastAsia="Times New Roman" w:hint="default"/>
        </w:rPr>
      </w:pPr>
      <w:r>
        <w:rPr>
          <w:rFonts w:hint="default"/>
        </w:rPr>
        <w:t>3</w:t>
      </w:r>
      <w:r>
        <w:t>、遵守招标文件的各项条款及一切有关规</w:t>
      </w:r>
      <w:r>
        <w:rPr>
          <w:u w:val="single"/>
        </w:rPr>
        <w:t>定</w:t>
      </w:r>
      <w:r>
        <w:t>；</w:t>
      </w:r>
    </w:p>
    <w:p>
      <w:pPr>
        <w:kinsoku w:val="0"/>
        <w:overflowPunct w:val="0"/>
        <w:spacing w:line="360" w:lineRule="auto"/>
        <w:rPr>
          <w:rFonts w:eastAsia="Times New Roman" w:hint="default"/>
        </w:rPr>
      </w:pPr>
      <w:r>
        <w:rPr>
          <w:rFonts w:hint="default"/>
        </w:rPr>
        <w:t>4</w:t>
      </w:r>
      <w:r>
        <w:t>、向贵方提供所有与招标项目有关的真实有效的数据、情况和技术资料；</w:t>
      </w:r>
    </w:p>
    <w:p>
      <w:pPr>
        <w:kinsoku w:val="0"/>
        <w:overflowPunct w:val="0"/>
        <w:spacing w:line="360" w:lineRule="auto"/>
        <w:rPr>
          <w:rFonts w:eastAsia="Times New Roman" w:hint="default"/>
        </w:rPr>
      </w:pPr>
      <w:r>
        <w:rPr>
          <w:rFonts w:hint="default"/>
        </w:rPr>
        <w:t>5</w:t>
      </w:r>
      <w:r>
        <w:t>、保证所提供的产品为合法化，所提供的货物在使用期间不受第三方提出侵犯其专利权、商标，且符合投标文件承诺和所签合同规定的技术要求；</w:t>
      </w:r>
    </w:p>
    <w:p>
      <w:pPr>
        <w:kinsoku w:val="0"/>
        <w:overflowPunct w:val="0"/>
        <w:spacing w:line="360" w:lineRule="auto"/>
        <w:rPr>
          <w:rFonts w:eastAsia="Times New Roman" w:hint="default"/>
        </w:rPr>
      </w:pPr>
      <w:r>
        <w:rPr>
          <w:rFonts w:hint="default"/>
        </w:rPr>
        <w:t>6</w:t>
      </w:r>
      <w:r>
        <w:t>、如我方投标被接受，我方将按招标文件的规定履行合同责任和义务，保证在合同生效后日内完成交货。</w:t>
      </w:r>
    </w:p>
    <w:p>
      <w:pPr>
        <w:kinsoku w:val="0"/>
        <w:overflowPunct w:val="0"/>
        <w:spacing w:line="360" w:lineRule="auto"/>
        <w:rPr>
          <w:rFonts w:eastAsia="Times New Roman" w:hint="default"/>
        </w:rPr>
      </w:pPr>
      <w:r>
        <w:rPr>
          <w:rFonts w:hint="default"/>
        </w:rPr>
        <w:t>7</w:t>
      </w:r>
      <w:r>
        <w:t>、本投标函自贵方收到之日生效，有效期至开标后</w:t>
      </w:r>
      <w:r>
        <w:rPr>
          <w:rFonts w:hint="default"/>
        </w:rPr>
        <w:t xml:space="preserve"> 90 </w:t>
      </w:r>
      <w:r>
        <w:t>日，在此期间本投标书之规定对我方具有约束力；</w:t>
      </w:r>
    </w:p>
    <w:p>
      <w:pPr>
        <w:kinsoku w:val="0"/>
        <w:overflowPunct w:val="0"/>
        <w:spacing w:line="360" w:lineRule="auto"/>
        <w:rPr>
          <w:rFonts w:eastAsia="Times New Roman" w:hint="default"/>
        </w:rPr>
      </w:pPr>
      <w:r>
        <w:rPr>
          <w:rFonts w:hint="default"/>
        </w:rPr>
        <w:t>8</w:t>
      </w:r>
      <w:r>
        <w:t>、如果我方投标被接受，则至合同履行完成和质量保证期满为止，本投标函保持有效。</w:t>
      </w:r>
    </w:p>
    <w:p>
      <w:pPr>
        <w:pStyle w:val="BodyText"/>
        <w:kinsoku w:val="0"/>
        <w:overflowPunct w:val="0"/>
        <w:spacing w:line="360" w:lineRule="auto"/>
        <w:ind w:left="628" w:right="5503"/>
        <w:rPr>
          <w:rFonts w:hint="default"/>
          <w:spacing w:val="-1"/>
        </w:rPr>
      </w:pPr>
      <w:r>
        <w:rPr>
          <w:spacing w:val="-1"/>
        </w:rPr>
        <w:t>投标人全称（电子公章）：</w:t>
      </w:r>
    </w:p>
    <w:p>
      <w:pPr>
        <w:pStyle w:val="BodyText"/>
        <w:kinsoku w:val="0"/>
        <w:overflowPunct w:val="0"/>
        <w:spacing w:line="360" w:lineRule="auto"/>
        <w:ind w:left="628" w:right="5503"/>
        <w:rPr>
          <w:rFonts w:hint="default"/>
        </w:rPr>
      </w:pPr>
      <w:r>
        <w:t>地址：</w:t>
      </w:r>
    </w:p>
    <w:p>
      <w:pPr>
        <w:pStyle w:val="BodyText"/>
        <w:kinsoku w:val="0"/>
        <w:overflowPunct w:val="0"/>
        <w:spacing w:before="37" w:line="360" w:lineRule="auto"/>
        <w:ind w:left="628" w:right="8197"/>
        <w:jc w:val="both"/>
        <w:rPr>
          <w:rFonts w:hint="default"/>
        </w:rPr>
      </w:pPr>
      <w:r>
        <w:t>电话： 邮编： 传真：</w:t>
      </w:r>
    </w:p>
    <w:p>
      <w:pPr>
        <w:snapToGrid w:val="0"/>
        <w:spacing w:line="600" w:lineRule="exact"/>
        <w:ind w:firstLine="480" w:firstLineChars="200"/>
        <w:rPr>
          <w:rFonts w:ascii="宋体" w:hAnsi="宋体" w:hint="default"/>
          <w:color w:val="000000"/>
        </w:rPr>
      </w:pPr>
      <w:r>
        <w:rPr>
          <w:rFonts w:ascii="宋体" w:hAnsi="宋体"/>
          <w:color w:val="000000"/>
        </w:rPr>
        <w:t>法定代表人</w:t>
      </w:r>
      <w:r>
        <w:t>或委托代理人</w:t>
      </w:r>
      <w:r>
        <w:rPr>
          <w:rFonts w:ascii="宋体" w:hAnsi="宋体"/>
          <w:color w:val="000000"/>
        </w:rPr>
        <w:t>（电子签名和电子签章）：</w:t>
      </w:r>
    </w:p>
    <w:p>
      <w:pPr>
        <w:pStyle w:val="BodyText"/>
        <w:kinsoku w:val="0"/>
        <w:overflowPunct w:val="0"/>
        <w:spacing w:before="37" w:line="360" w:lineRule="auto"/>
        <w:ind w:left="0" w:right="4571" w:firstLine="480" w:firstLineChars="200"/>
        <w:rPr>
          <w:rFonts w:hint="default"/>
        </w:rPr>
      </w:pPr>
    </w:p>
    <w:p>
      <w:pPr>
        <w:pStyle w:val="BodyText"/>
        <w:kinsoku w:val="0"/>
        <w:overflowPunct w:val="0"/>
        <w:spacing w:before="37" w:line="360" w:lineRule="auto"/>
        <w:ind w:left="0" w:right="4571" w:firstLine="480" w:firstLineChars="200"/>
        <w:rPr>
          <w:rFonts w:hint="default"/>
        </w:rPr>
      </w:pPr>
      <w:r>
        <w:t>日期：</w:t>
      </w:r>
    </w:p>
    <w:p>
      <w:pPr>
        <w:pStyle w:val="BodyText"/>
        <w:kinsoku w:val="0"/>
        <w:overflowPunct w:val="0"/>
        <w:spacing w:before="37" w:line="360" w:lineRule="auto"/>
        <w:ind w:left="628" w:right="4571"/>
        <w:rPr>
          <w:rFonts w:hint="default"/>
        </w:rPr>
        <w:sectPr>
          <w:pgSz w:w="11910" w:h="16840"/>
          <w:pgMar w:top="820" w:right="1260" w:bottom="1140" w:left="1100" w:header="592" w:footer="953" w:gutter="0"/>
          <w:cols w:num="1" w:space="708"/>
        </w:sectPr>
      </w:pPr>
    </w:p>
    <w:p>
      <w:pPr>
        <w:pStyle w:val="Heading2"/>
        <w:numPr>
          <w:ilvl w:val="0"/>
          <w:numId w:val="0"/>
        </w:numPr>
        <w:tabs>
          <w:tab w:val="left" w:pos="1021"/>
        </w:tabs>
        <w:ind w:left="425"/>
        <w:jc w:val="center"/>
        <w:rPr>
          <w:rFonts w:ascii="宋体" w:eastAsia="宋体" w:hAnsi="宋体" w:hint="default"/>
          <w:sz w:val="32"/>
          <w:szCs w:val="32"/>
        </w:rPr>
      </w:pPr>
      <w:bookmarkStart w:id="25" w:name="_Toc396092986"/>
      <w:bookmarkStart w:id="26" w:name="_Toc348009993"/>
      <w:bookmarkStart w:id="27" w:name="_Toc327190555"/>
      <w:r>
        <w:rPr>
          <w:rFonts w:ascii="宋体" w:eastAsia="宋体" w:hAnsi="宋体"/>
          <w:sz w:val="32"/>
          <w:szCs w:val="32"/>
        </w:rPr>
        <w:t>2、货物分项报价表</w:t>
      </w:r>
      <w:bookmarkEnd w:id="25"/>
      <w:bookmarkEnd w:id="26"/>
      <w:bookmarkEnd w:id="27"/>
    </w:p>
    <w:p>
      <w:pPr>
        <w:pStyle w:val="PlainText"/>
        <w:spacing w:after="156" w:afterLines="50"/>
        <w:rPr>
          <w:rFonts w:hAnsi="宋体" w:hint="default"/>
          <w:b/>
        </w:rPr>
      </w:pPr>
      <w:r>
        <w:rPr>
          <w:rFonts w:hAnsi="宋体"/>
          <w:b/>
        </w:rPr>
        <w:t>项目名称：                                           项目编号：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28" w:type="dxa"/>
          <w:bottom w:w="0" w:type="dxa"/>
          <w:right w:w="28" w:type="dxa"/>
        </w:tblCellMar>
      </w:tblPr>
      <w:tblGrid>
        <w:gridCol w:w="813"/>
        <w:gridCol w:w="2654"/>
        <w:gridCol w:w="1764"/>
        <w:gridCol w:w="883"/>
        <w:gridCol w:w="501"/>
        <w:gridCol w:w="1270"/>
        <w:gridCol w:w="1262"/>
        <w:gridCol w:w="189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28" w:type="dxa"/>
            <w:bottom w:w="0" w:type="dxa"/>
            <w:right w:w="28" w:type="dxa"/>
          </w:tblCellMar>
        </w:tblPrEx>
        <w:trPr>
          <w:trHeight w:val="1332"/>
          <w:jc w:val="center"/>
        </w:trPr>
        <w:tc>
          <w:tcPr>
            <w:tcW w:w="813" w:type="dxa"/>
            <w:vAlign w:val="center"/>
          </w:tcPr>
          <w:p>
            <w:pPr>
              <w:widowControl/>
              <w:spacing w:before="240" w:after="240"/>
              <w:jc w:val="center"/>
              <w:rPr>
                <w:rFonts w:ascii="宋体" w:hAnsi="宋体" w:hint="default"/>
                <w:szCs w:val="21"/>
              </w:rPr>
            </w:pPr>
            <w:r>
              <w:rPr>
                <w:rFonts w:ascii="宋体" w:hAnsi="宋体"/>
                <w:szCs w:val="21"/>
              </w:rPr>
              <w:t>序号</w:t>
            </w:r>
          </w:p>
        </w:tc>
        <w:tc>
          <w:tcPr>
            <w:tcW w:w="2654" w:type="dxa"/>
            <w:vAlign w:val="center"/>
          </w:tcPr>
          <w:p>
            <w:pPr>
              <w:widowControl/>
              <w:spacing w:before="240" w:after="240"/>
              <w:jc w:val="center"/>
              <w:rPr>
                <w:rFonts w:ascii="宋体" w:hAnsi="宋体" w:hint="default"/>
                <w:szCs w:val="21"/>
              </w:rPr>
            </w:pPr>
            <w:r>
              <w:rPr>
                <w:rFonts w:ascii="宋体" w:hAnsi="宋体"/>
                <w:szCs w:val="21"/>
              </w:rPr>
              <w:t>货物名称</w:t>
            </w:r>
          </w:p>
        </w:tc>
        <w:tc>
          <w:tcPr>
            <w:tcW w:w="1764" w:type="dxa"/>
            <w:vAlign w:val="center"/>
          </w:tcPr>
          <w:p>
            <w:pPr>
              <w:widowControl/>
              <w:spacing w:before="240" w:after="240"/>
              <w:jc w:val="center"/>
              <w:rPr>
                <w:rFonts w:ascii="宋体" w:hAnsi="宋体" w:hint="default"/>
                <w:szCs w:val="21"/>
              </w:rPr>
            </w:pPr>
            <w:r>
              <w:rPr>
                <w:rFonts w:ascii="宋体" w:hAnsi="宋体"/>
                <w:szCs w:val="21"/>
              </w:rPr>
              <w:t>型号和规格</w:t>
            </w:r>
          </w:p>
        </w:tc>
        <w:tc>
          <w:tcPr>
            <w:tcW w:w="883" w:type="dxa"/>
            <w:vAlign w:val="center"/>
          </w:tcPr>
          <w:p>
            <w:pPr>
              <w:widowControl/>
              <w:spacing w:before="240" w:after="240"/>
              <w:jc w:val="center"/>
              <w:rPr>
                <w:rFonts w:ascii="宋体" w:hAnsi="宋体" w:hint="default"/>
                <w:szCs w:val="21"/>
              </w:rPr>
            </w:pPr>
          </w:p>
          <w:p>
            <w:pPr>
              <w:widowControl/>
              <w:spacing w:before="240" w:after="240"/>
              <w:jc w:val="center"/>
              <w:rPr>
                <w:rFonts w:ascii="宋体" w:hAnsi="宋体" w:hint="default"/>
                <w:szCs w:val="21"/>
              </w:rPr>
            </w:pPr>
            <w:r>
              <w:rPr>
                <w:rFonts w:ascii="宋体" w:hAnsi="宋体"/>
                <w:szCs w:val="21"/>
              </w:rPr>
              <w:t>数量</w:t>
            </w:r>
          </w:p>
          <w:p>
            <w:pPr>
              <w:widowControl/>
              <w:spacing w:before="240" w:after="240"/>
              <w:jc w:val="center"/>
              <w:rPr>
                <w:rFonts w:ascii="宋体" w:hAnsi="宋体" w:hint="default"/>
                <w:szCs w:val="21"/>
              </w:rPr>
            </w:pPr>
          </w:p>
        </w:tc>
        <w:tc>
          <w:tcPr>
            <w:tcW w:w="501" w:type="dxa"/>
            <w:vAlign w:val="center"/>
          </w:tcPr>
          <w:p>
            <w:pPr>
              <w:jc w:val="center"/>
              <w:rPr>
                <w:rFonts w:ascii="宋体" w:hAnsi="宋体" w:hint="default"/>
                <w:szCs w:val="21"/>
              </w:rPr>
            </w:pPr>
            <w:r>
              <w:rPr>
                <w:rFonts w:ascii="宋体" w:hAnsi="宋体"/>
                <w:szCs w:val="21"/>
              </w:rPr>
              <w:t>单位</w:t>
            </w:r>
          </w:p>
        </w:tc>
        <w:tc>
          <w:tcPr>
            <w:tcW w:w="1270" w:type="dxa"/>
            <w:vAlign w:val="center"/>
          </w:tcPr>
          <w:p>
            <w:pPr>
              <w:widowControl/>
              <w:jc w:val="center"/>
              <w:rPr>
                <w:rFonts w:ascii="宋体" w:hAnsi="宋体" w:hint="default"/>
                <w:szCs w:val="21"/>
              </w:rPr>
            </w:pPr>
            <w:r>
              <w:rPr>
                <w:rFonts w:ascii="宋体" w:hAnsi="宋体"/>
                <w:szCs w:val="21"/>
              </w:rPr>
              <w:t>单价（元）</w:t>
            </w:r>
          </w:p>
        </w:tc>
        <w:tc>
          <w:tcPr>
            <w:tcW w:w="1262" w:type="dxa"/>
            <w:vAlign w:val="center"/>
          </w:tcPr>
          <w:p>
            <w:pPr>
              <w:widowControl/>
              <w:jc w:val="center"/>
              <w:rPr>
                <w:rFonts w:ascii="宋体" w:hAnsi="宋体" w:hint="default"/>
                <w:szCs w:val="21"/>
              </w:rPr>
            </w:pPr>
            <w:r>
              <w:rPr>
                <w:rFonts w:ascii="宋体" w:hAnsi="宋体"/>
                <w:szCs w:val="21"/>
              </w:rPr>
              <w:t>合价（元）</w:t>
            </w:r>
          </w:p>
        </w:tc>
        <w:tc>
          <w:tcPr>
            <w:tcW w:w="1893" w:type="dxa"/>
            <w:vAlign w:val="center"/>
          </w:tcPr>
          <w:p>
            <w:pPr>
              <w:widowControl/>
              <w:spacing w:before="240" w:after="240"/>
              <w:jc w:val="center"/>
              <w:rPr>
                <w:rFonts w:ascii="宋体" w:hAnsi="宋体" w:hint="default"/>
                <w:szCs w:val="21"/>
              </w:rPr>
            </w:pPr>
            <w:r>
              <w:rPr>
                <w:rFonts w:ascii="宋体" w:hAnsi="宋体"/>
                <w:szCs w:val="21"/>
              </w:rPr>
              <w:t>备注</w:t>
            </w:r>
          </w:p>
        </w:tc>
      </w:tr>
      <w:tr>
        <w:tblPrEx>
          <w:tblW w:w="0" w:type="auto"/>
          <w:jc w:val="center"/>
          <w:tblLayout w:type="fixed"/>
          <w:tblCellMar>
            <w:top w:w="0" w:type="dxa"/>
            <w:left w:w="28" w:type="dxa"/>
            <w:bottom w:w="0" w:type="dxa"/>
            <w:right w:w="28" w:type="dxa"/>
          </w:tblCellMar>
        </w:tblPrEx>
        <w:trPr>
          <w:trHeight w:val="327"/>
          <w:jc w:val="center"/>
        </w:trPr>
        <w:tc>
          <w:tcPr>
            <w:tcW w:w="813" w:type="dxa"/>
            <w:vAlign w:val="center"/>
          </w:tcPr>
          <w:p>
            <w:pPr>
              <w:widowControl/>
              <w:jc w:val="center"/>
              <w:rPr>
                <w:rFonts w:ascii="宋体" w:hAnsi="宋体" w:hint="default"/>
                <w:szCs w:val="21"/>
              </w:rPr>
            </w:pPr>
            <w:r>
              <w:rPr>
                <w:rFonts w:ascii="宋体" w:hAnsi="宋体"/>
                <w:szCs w:val="21"/>
              </w:rPr>
              <w:t>1</w:t>
            </w:r>
          </w:p>
        </w:tc>
        <w:tc>
          <w:tcPr>
            <w:tcW w:w="2654" w:type="dxa"/>
          </w:tcPr>
          <w:p>
            <w:pPr>
              <w:widowControl/>
              <w:rPr>
                <w:rFonts w:ascii="宋体" w:hAnsi="宋体" w:hint="default"/>
                <w:szCs w:val="21"/>
              </w:rPr>
            </w:pPr>
          </w:p>
        </w:tc>
        <w:tc>
          <w:tcPr>
            <w:tcW w:w="1764" w:type="dxa"/>
          </w:tcPr>
          <w:p>
            <w:pPr>
              <w:widowControl/>
              <w:rPr>
                <w:rFonts w:ascii="宋体" w:hAnsi="宋体" w:hint="default"/>
                <w:szCs w:val="21"/>
              </w:rPr>
            </w:pPr>
          </w:p>
        </w:tc>
        <w:tc>
          <w:tcPr>
            <w:tcW w:w="883" w:type="dxa"/>
          </w:tcPr>
          <w:p>
            <w:pPr>
              <w:widowControl/>
              <w:rPr>
                <w:rFonts w:ascii="宋体" w:hAnsi="宋体" w:hint="default"/>
                <w:szCs w:val="21"/>
              </w:rPr>
            </w:pPr>
          </w:p>
        </w:tc>
        <w:tc>
          <w:tcPr>
            <w:tcW w:w="501" w:type="dxa"/>
          </w:tcPr>
          <w:p>
            <w:pPr>
              <w:widowControl/>
              <w:rPr>
                <w:rFonts w:ascii="宋体" w:hAnsi="宋体" w:hint="default"/>
                <w:szCs w:val="21"/>
              </w:rPr>
            </w:pPr>
          </w:p>
        </w:tc>
        <w:tc>
          <w:tcPr>
            <w:tcW w:w="1270" w:type="dxa"/>
          </w:tcPr>
          <w:p>
            <w:pPr>
              <w:widowControl/>
              <w:rPr>
                <w:rFonts w:ascii="宋体" w:hAnsi="宋体" w:hint="default"/>
                <w:szCs w:val="21"/>
              </w:rPr>
            </w:pPr>
          </w:p>
        </w:tc>
        <w:tc>
          <w:tcPr>
            <w:tcW w:w="1262" w:type="dxa"/>
          </w:tcPr>
          <w:p>
            <w:pPr>
              <w:widowControl/>
              <w:rPr>
                <w:rFonts w:ascii="宋体" w:hAnsi="宋体" w:hint="default"/>
                <w:szCs w:val="21"/>
              </w:rPr>
            </w:pPr>
          </w:p>
        </w:tc>
        <w:tc>
          <w:tcPr>
            <w:tcW w:w="1893" w:type="dxa"/>
          </w:tcPr>
          <w:p>
            <w:pPr>
              <w:widowControl/>
              <w:rPr>
                <w:rFonts w:ascii="宋体" w:hAnsi="宋体" w:hint="default"/>
                <w:szCs w:val="21"/>
              </w:rPr>
            </w:pPr>
          </w:p>
        </w:tc>
      </w:tr>
      <w:tr>
        <w:tblPrEx>
          <w:tblW w:w="0" w:type="auto"/>
          <w:jc w:val="center"/>
          <w:tblLayout w:type="fixed"/>
          <w:tblCellMar>
            <w:top w:w="0" w:type="dxa"/>
            <w:left w:w="28" w:type="dxa"/>
            <w:bottom w:w="0" w:type="dxa"/>
            <w:right w:w="28" w:type="dxa"/>
          </w:tblCellMar>
        </w:tblPrEx>
        <w:trPr>
          <w:trHeight w:val="417"/>
          <w:jc w:val="center"/>
        </w:trPr>
        <w:tc>
          <w:tcPr>
            <w:tcW w:w="813" w:type="dxa"/>
            <w:vAlign w:val="center"/>
          </w:tcPr>
          <w:p>
            <w:pPr>
              <w:widowControl/>
              <w:jc w:val="center"/>
              <w:rPr>
                <w:rFonts w:ascii="宋体" w:hAnsi="宋体" w:hint="default"/>
                <w:szCs w:val="21"/>
              </w:rPr>
            </w:pPr>
            <w:r>
              <w:rPr>
                <w:rFonts w:ascii="宋体" w:hAnsi="宋体"/>
                <w:szCs w:val="21"/>
              </w:rPr>
              <w:t>2</w:t>
            </w:r>
          </w:p>
        </w:tc>
        <w:tc>
          <w:tcPr>
            <w:tcW w:w="2654" w:type="dxa"/>
          </w:tcPr>
          <w:p>
            <w:pPr>
              <w:widowControl/>
              <w:rPr>
                <w:rFonts w:ascii="宋体" w:hAnsi="宋体" w:hint="default"/>
                <w:szCs w:val="21"/>
              </w:rPr>
            </w:pPr>
          </w:p>
        </w:tc>
        <w:tc>
          <w:tcPr>
            <w:tcW w:w="1764" w:type="dxa"/>
          </w:tcPr>
          <w:p>
            <w:pPr>
              <w:widowControl/>
              <w:rPr>
                <w:rFonts w:ascii="宋体" w:hAnsi="宋体" w:hint="default"/>
                <w:szCs w:val="21"/>
              </w:rPr>
            </w:pPr>
          </w:p>
        </w:tc>
        <w:tc>
          <w:tcPr>
            <w:tcW w:w="883" w:type="dxa"/>
          </w:tcPr>
          <w:p>
            <w:pPr>
              <w:widowControl/>
              <w:rPr>
                <w:rFonts w:ascii="宋体" w:hAnsi="宋体" w:hint="default"/>
                <w:szCs w:val="21"/>
              </w:rPr>
            </w:pPr>
          </w:p>
        </w:tc>
        <w:tc>
          <w:tcPr>
            <w:tcW w:w="501" w:type="dxa"/>
          </w:tcPr>
          <w:p>
            <w:pPr>
              <w:widowControl/>
              <w:rPr>
                <w:rFonts w:ascii="宋体" w:hAnsi="宋体" w:hint="default"/>
                <w:szCs w:val="21"/>
              </w:rPr>
            </w:pPr>
          </w:p>
        </w:tc>
        <w:tc>
          <w:tcPr>
            <w:tcW w:w="1270" w:type="dxa"/>
          </w:tcPr>
          <w:p>
            <w:pPr>
              <w:widowControl/>
              <w:rPr>
                <w:rFonts w:ascii="宋体" w:hAnsi="宋体" w:hint="default"/>
                <w:szCs w:val="21"/>
              </w:rPr>
            </w:pPr>
          </w:p>
        </w:tc>
        <w:tc>
          <w:tcPr>
            <w:tcW w:w="1262" w:type="dxa"/>
          </w:tcPr>
          <w:p>
            <w:pPr>
              <w:widowControl/>
              <w:rPr>
                <w:rFonts w:ascii="宋体" w:hAnsi="宋体" w:hint="default"/>
                <w:szCs w:val="21"/>
              </w:rPr>
            </w:pPr>
          </w:p>
        </w:tc>
        <w:tc>
          <w:tcPr>
            <w:tcW w:w="1893" w:type="dxa"/>
          </w:tcPr>
          <w:p>
            <w:pPr>
              <w:widowControl/>
              <w:rPr>
                <w:rFonts w:ascii="宋体" w:hAnsi="宋体" w:hint="default"/>
                <w:szCs w:val="21"/>
              </w:rPr>
            </w:pPr>
          </w:p>
        </w:tc>
      </w:tr>
      <w:tr>
        <w:tblPrEx>
          <w:tblW w:w="0" w:type="auto"/>
          <w:jc w:val="center"/>
          <w:tblLayout w:type="fixed"/>
          <w:tblCellMar>
            <w:top w:w="0" w:type="dxa"/>
            <w:left w:w="28" w:type="dxa"/>
            <w:bottom w:w="0" w:type="dxa"/>
            <w:right w:w="28" w:type="dxa"/>
          </w:tblCellMar>
        </w:tblPrEx>
        <w:trPr>
          <w:trHeight w:val="417"/>
          <w:jc w:val="center"/>
        </w:trPr>
        <w:tc>
          <w:tcPr>
            <w:tcW w:w="813" w:type="dxa"/>
            <w:vAlign w:val="center"/>
          </w:tcPr>
          <w:p>
            <w:pPr>
              <w:widowControl/>
              <w:jc w:val="center"/>
              <w:rPr>
                <w:rFonts w:ascii="宋体" w:hAnsi="宋体" w:hint="default"/>
                <w:szCs w:val="21"/>
              </w:rPr>
            </w:pPr>
            <w:r>
              <w:rPr>
                <w:rFonts w:ascii="宋体" w:hAnsi="宋体"/>
                <w:szCs w:val="21"/>
              </w:rPr>
              <w:t>…</w:t>
            </w:r>
          </w:p>
        </w:tc>
        <w:tc>
          <w:tcPr>
            <w:tcW w:w="2654" w:type="dxa"/>
          </w:tcPr>
          <w:p>
            <w:pPr>
              <w:widowControl/>
              <w:rPr>
                <w:rFonts w:ascii="宋体" w:hAnsi="宋体" w:hint="default"/>
                <w:szCs w:val="21"/>
              </w:rPr>
            </w:pPr>
          </w:p>
        </w:tc>
        <w:tc>
          <w:tcPr>
            <w:tcW w:w="1764" w:type="dxa"/>
          </w:tcPr>
          <w:p>
            <w:pPr>
              <w:widowControl/>
              <w:rPr>
                <w:rFonts w:ascii="宋体" w:hAnsi="宋体" w:hint="default"/>
                <w:szCs w:val="21"/>
              </w:rPr>
            </w:pPr>
          </w:p>
        </w:tc>
        <w:tc>
          <w:tcPr>
            <w:tcW w:w="883" w:type="dxa"/>
          </w:tcPr>
          <w:p>
            <w:pPr>
              <w:widowControl/>
              <w:rPr>
                <w:rFonts w:ascii="宋体" w:hAnsi="宋体" w:hint="default"/>
                <w:szCs w:val="21"/>
              </w:rPr>
            </w:pPr>
          </w:p>
        </w:tc>
        <w:tc>
          <w:tcPr>
            <w:tcW w:w="501" w:type="dxa"/>
          </w:tcPr>
          <w:p>
            <w:pPr>
              <w:widowControl/>
              <w:rPr>
                <w:rFonts w:ascii="宋体" w:hAnsi="宋体" w:hint="default"/>
                <w:szCs w:val="21"/>
              </w:rPr>
            </w:pPr>
          </w:p>
        </w:tc>
        <w:tc>
          <w:tcPr>
            <w:tcW w:w="1270" w:type="dxa"/>
          </w:tcPr>
          <w:p>
            <w:pPr>
              <w:widowControl/>
              <w:rPr>
                <w:rFonts w:ascii="宋体" w:hAnsi="宋体" w:hint="default"/>
                <w:szCs w:val="21"/>
              </w:rPr>
            </w:pPr>
          </w:p>
        </w:tc>
        <w:tc>
          <w:tcPr>
            <w:tcW w:w="1262" w:type="dxa"/>
          </w:tcPr>
          <w:p>
            <w:pPr>
              <w:widowControl/>
              <w:rPr>
                <w:rFonts w:ascii="宋体" w:hAnsi="宋体" w:hint="default"/>
                <w:szCs w:val="21"/>
              </w:rPr>
            </w:pPr>
          </w:p>
        </w:tc>
        <w:tc>
          <w:tcPr>
            <w:tcW w:w="1893" w:type="dxa"/>
          </w:tcPr>
          <w:p>
            <w:pPr>
              <w:widowControl/>
              <w:rPr>
                <w:rFonts w:ascii="宋体" w:hAnsi="宋体" w:hint="default"/>
                <w:szCs w:val="21"/>
              </w:rPr>
            </w:pPr>
          </w:p>
        </w:tc>
      </w:tr>
      <w:tr>
        <w:tblPrEx>
          <w:tblW w:w="0" w:type="auto"/>
          <w:jc w:val="center"/>
          <w:tblLayout w:type="fixed"/>
          <w:tblCellMar>
            <w:top w:w="0" w:type="dxa"/>
            <w:left w:w="28" w:type="dxa"/>
            <w:bottom w:w="0" w:type="dxa"/>
            <w:right w:w="28" w:type="dxa"/>
          </w:tblCellMar>
        </w:tblPrEx>
        <w:trPr>
          <w:trHeight w:val="399"/>
          <w:jc w:val="center"/>
        </w:trPr>
        <w:tc>
          <w:tcPr>
            <w:tcW w:w="813" w:type="dxa"/>
            <w:vAlign w:val="center"/>
          </w:tcPr>
          <w:p>
            <w:pPr>
              <w:widowControl/>
              <w:jc w:val="center"/>
              <w:rPr>
                <w:rFonts w:ascii="宋体" w:hAnsi="宋体" w:hint="default"/>
                <w:szCs w:val="21"/>
              </w:rPr>
            </w:pPr>
            <w:r>
              <w:rPr>
                <w:rFonts w:ascii="宋体" w:hAnsi="宋体"/>
                <w:szCs w:val="21"/>
              </w:rPr>
              <w:t>…</w:t>
            </w:r>
          </w:p>
        </w:tc>
        <w:tc>
          <w:tcPr>
            <w:tcW w:w="2654" w:type="dxa"/>
          </w:tcPr>
          <w:p>
            <w:pPr>
              <w:widowControl/>
              <w:rPr>
                <w:rFonts w:ascii="宋体" w:hAnsi="宋体" w:hint="default"/>
                <w:szCs w:val="21"/>
              </w:rPr>
            </w:pPr>
          </w:p>
        </w:tc>
        <w:tc>
          <w:tcPr>
            <w:tcW w:w="1764" w:type="dxa"/>
          </w:tcPr>
          <w:p>
            <w:pPr>
              <w:widowControl/>
              <w:rPr>
                <w:rFonts w:ascii="宋体" w:hAnsi="宋体" w:hint="default"/>
                <w:szCs w:val="21"/>
              </w:rPr>
            </w:pPr>
          </w:p>
        </w:tc>
        <w:tc>
          <w:tcPr>
            <w:tcW w:w="883" w:type="dxa"/>
          </w:tcPr>
          <w:p>
            <w:pPr>
              <w:widowControl/>
              <w:rPr>
                <w:rFonts w:ascii="宋体" w:hAnsi="宋体" w:hint="default"/>
                <w:szCs w:val="21"/>
              </w:rPr>
            </w:pPr>
          </w:p>
        </w:tc>
        <w:tc>
          <w:tcPr>
            <w:tcW w:w="501" w:type="dxa"/>
          </w:tcPr>
          <w:p>
            <w:pPr>
              <w:widowControl/>
              <w:rPr>
                <w:rFonts w:ascii="宋体" w:hAnsi="宋体" w:hint="default"/>
                <w:szCs w:val="21"/>
              </w:rPr>
            </w:pPr>
          </w:p>
        </w:tc>
        <w:tc>
          <w:tcPr>
            <w:tcW w:w="1270" w:type="dxa"/>
          </w:tcPr>
          <w:p>
            <w:pPr>
              <w:widowControl/>
              <w:rPr>
                <w:rFonts w:ascii="宋体" w:hAnsi="宋体" w:hint="default"/>
                <w:szCs w:val="21"/>
              </w:rPr>
            </w:pPr>
          </w:p>
        </w:tc>
        <w:tc>
          <w:tcPr>
            <w:tcW w:w="1262" w:type="dxa"/>
          </w:tcPr>
          <w:p>
            <w:pPr>
              <w:widowControl/>
              <w:rPr>
                <w:rFonts w:ascii="宋体" w:hAnsi="宋体" w:hint="default"/>
                <w:szCs w:val="21"/>
              </w:rPr>
            </w:pPr>
          </w:p>
        </w:tc>
        <w:tc>
          <w:tcPr>
            <w:tcW w:w="1893" w:type="dxa"/>
          </w:tcPr>
          <w:p>
            <w:pPr>
              <w:widowControl/>
              <w:rPr>
                <w:rFonts w:ascii="宋体" w:hAnsi="宋体" w:hint="default"/>
                <w:szCs w:val="21"/>
              </w:rPr>
            </w:pPr>
          </w:p>
        </w:tc>
      </w:tr>
      <w:tr>
        <w:tblPrEx>
          <w:tblW w:w="0" w:type="auto"/>
          <w:jc w:val="center"/>
          <w:tblLayout w:type="fixed"/>
          <w:tblCellMar>
            <w:top w:w="0" w:type="dxa"/>
            <w:left w:w="28" w:type="dxa"/>
            <w:bottom w:w="0" w:type="dxa"/>
            <w:right w:w="28" w:type="dxa"/>
          </w:tblCellMar>
        </w:tblPrEx>
        <w:trPr>
          <w:trHeight w:val="409"/>
          <w:jc w:val="center"/>
        </w:trPr>
        <w:tc>
          <w:tcPr>
            <w:tcW w:w="7885" w:type="dxa"/>
            <w:gridSpan w:val="6"/>
          </w:tcPr>
          <w:p>
            <w:pPr>
              <w:widowControl/>
              <w:wordWrap w:val="0"/>
              <w:jc w:val="right"/>
              <w:rPr>
                <w:rFonts w:ascii="宋体" w:hAnsi="宋体" w:hint="default"/>
                <w:szCs w:val="21"/>
              </w:rPr>
            </w:pPr>
            <w:r>
              <w:rPr>
                <w:rFonts w:ascii="宋体" w:hAnsi="宋体"/>
                <w:szCs w:val="21"/>
              </w:rPr>
              <w:t xml:space="preserve">总计（元）小写：      大写：      </w:t>
            </w:r>
          </w:p>
        </w:tc>
        <w:tc>
          <w:tcPr>
            <w:tcW w:w="3155" w:type="dxa"/>
            <w:gridSpan w:val="2"/>
          </w:tcPr>
          <w:p>
            <w:pPr>
              <w:widowControl/>
              <w:rPr>
                <w:rFonts w:ascii="宋体" w:hAnsi="宋体" w:hint="default"/>
                <w:szCs w:val="21"/>
              </w:rPr>
            </w:pPr>
          </w:p>
        </w:tc>
      </w:tr>
    </w:tbl>
    <w:p>
      <w:pPr>
        <w:pStyle w:val="PlainText"/>
        <w:spacing w:after="156" w:afterLines="50"/>
        <w:rPr>
          <w:rFonts w:hAnsi="宋体" w:hint="default"/>
          <w:b/>
        </w:rPr>
      </w:pPr>
    </w:p>
    <w:p>
      <w:pPr>
        <w:pStyle w:val="PlainText"/>
        <w:spacing w:after="156" w:afterLines="50"/>
        <w:rPr>
          <w:rFonts w:hAnsi="宋体" w:hint="default"/>
          <w:b/>
        </w:rPr>
      </w:pPr>
    </w:p>
    <w:p>
      <w:pPr>
        <w:pStyle w:val="PlainText"/>
        <w:spacing w:after="156" w:afterLines="50"/>
        <w:rPr>
          <w:rFonts w:hAnsi="宋体" w:hint="default"/>
          <w:b/>
        </w:rPr>
      </w:pPr>
    </w:p>
    <w:p>
      <w:pPr>
        <w:pStyle w:val="PlainText"/>
        <w:spacing w:after="156" w:afterLines="50"/>
        <w:rPr>
          <w:rFonts w:hAnsi="宋体" w:hint="default"/>
          <w:b/>
        </w:rPr>
      </w:pPr>
    </w:p>
    <w:p>
      <w:pPr>
        <w:spacing w:line="324" w:lineRule="auto"/>
        <w:ind w:left="1440" w:hanging="1440" w:hangingChars="600"/>
        <w:rPr>
          <w:rFonts w:ascii="宋体" w:hAnsi="宋体" w:hint="default"/>
          <w:szCs w:val="21"/>
        </w:rPr>
      </w:pPr>
      <w:r>
        <w:rPr>
          <w:rFonts w:ascii="宋体" w:hAnsi="宋体"/>
          <w:szCs w:val="21"/>
        </w:rPr>
        <w:t>说明：1. 投标人应按招标项目进行报价；</w:t>
      </w:r>
    </w:p>
    <w:p>
      <w:pPr>
        <w:ind w:firstLine="540" w:firstLineChars="225"/>
        <w:rPr>
          <w:rFonts w:ascii="宋体" w:hAnsi="宋体" w:hint="default"/>
          <w:szCs w:val="21"/>
          <w:lang w:val="zh-CN"/>
        </w:rPr>
      </w:pPr>
      <w:r>
        <w:rPr>
          <w:rFonts w:ascii="宋体" w:hAnsi="宋体"/>
          <w:szCs w:val="21"/>
        </w:rPr>
        <w:t xml:space="preserve"> 2.单价应</w:t>
      </w:r>
      <w:r>
        <w:rPr>
          <w:rFonts w:ascii="宋体" w:hAnsi="宋体"/>
          <w:szCs w:val="21"/>
          <w:lang w:val="zh-CN"/>
        </w:rPr>
        <w:t>包含货物</w:t>
      </w:r>
      <w:r>
        <w:rPr>
          <w:rFonts w:ascii="宋体" w:hAnsi="宋体"/>
          <w:szCs w:val="21"/>
        </w:rPr>
        <w:t>自身价格、运杂费、装卸费、验收、未分配运送的储管费、保证期内缺陷的修复补救费用、市场价格变化的风险费用、利润、税金及本次采购相关费用等总和 。</w:t>
      </w:r>
    </w:p>
    <w:p>
      <w:pPr>
        <w:spacing w:line="324" w:lineRule="auto"/>
        <w:ind w:firstLine="480" w:firstLineChars="200"/>
        <w:rPr>
          <w:rFonts w:hAnsi="宋体" w:hint="default"/>
          <w:szCs w:val="21"/>
        </w:rPr>
      </w:pPr>
      <w:r>
        <w:rPr>
          <w:rFonts w:ascii="宋体" w:hAnsi="宋体"/>
          <w:szCs w:val="21"/>
        </w:rPr>
        <w:t xml:space="preserve"> 3. 投标报价明细表的项目内容须按招标项目清单填报，技术规范与招标文件技术规范有不一致的，应在技术偏离表中说明。</w:t>
      </w:r>
      <w:r>
        <w:rPr>
          <w:rFonts w:hAnsi="宋体"/>
          <w:szCs w:val="21"/>
        </w:rPr>
        <w:t xml:space="preserve">                                          </w:t>
      </w:r>
    </w:p>
    <w:p>
      <w:pPr>
        <w:rPr>
          <w:rFonts w:hAnsi="宋体" w:hint="default"/>
          <w:szCs w:val="21"/>
        </w:rPr>
      </w:pPr>
      <w:r>
        <w:rPr>
          <w:rFonts w:hAnsi="宋体"/>
          <w:szCs w:val="21"/>
        </w:rPr>
        <w:t xml:space="preserve"> 投标人（电子公章） ：</w:t>
      </w:r>
    </w:p>
    <w:p>
      <w:pPr>
        <w:spacing w:line="360" w:lineRule="auto"/>
        <w:ind w:firstLine="2" w:firstLineChars="1"/>
        <w:rPr>
          <w:rFonts w:hAnsi="宋体" w:hint="default"/>
          <w:b/>
          <w:szCs w:val="21"/>
        </w:rPr>
      </w:pPr>
      <w:r>
        <w:rPr>
          <w:rFonts w:hAnsi="宋体"/>
          <w:szCs w:val="21"/>
        </w:rPr>
        <w:t>法定代表人或其委托代理人（电子签名和电子签章）：</w:t>
      </w:r>
      <w:r>
        <w:rPr>
          <w:rFonts w:hAnsi="宋体"/>
          <w:b/>
          <w:szCs w:val="21"/>
        </w:rPr>
        <w:t xml:space="preserve">                                    </w:t>
      </w:r>
    </w:p>
    <w:p>
      <w:pPr>
        <w:pStyle w:val="PlainText"/>
        <w:rPr>
          <w:rFonts w:hAnsi="宋体" w:hint="default"/>
          <w:b/>
          <w:szCs w:val="21"/>
        </w:rPr>
      </w:pPr>
      <w:r>
        <w:rPr>
          <w:rFonts w:hAnsi="宋体"/>
          <w:b/>
          <w:szCs w:val="21"/>
        </w:rPr>
        <w:t xml:space="preserve">日   期： </w:t>
      </w:r>
      <w:r>
        <w:rPr>
          <w:rFonts w:hAnsi="宋体"/>
          <w:b/>
          <w:szCs w:val="21"/>
          <w:u w:val="single"/>
        </w:rPr>
        <w:t xml:space="preserve">              </w:t>
      </w:r>
    </w:p>
    <w:p>
      <w:pPr>
        <w:pStyle w:val="PlainText"/>
        <w:spacing w:after="156" w:afterLines="50"/>
        <w:rPr>
          <w:rFonts w:hAnsi="宋体" w:hint="default"/>
          <w:b/>
        </w:rPr>
      </w:pPr>
    </w:p>
    <w:p>
      <w:pPr>
        <w:pStyle w:val="Heading2"/>
        <w:numPr>
          <w:ilvl w:val="0"/>
          <w:numId w:val="0"/>
        </w:numPr>
        <w:tabs>
          <w:tab w:val="left" w:pos="1021"/>
        </w:tabs>
        <w:ind w:left="425"/>
        <w:jc w:val="center"/>
        <w:rPr>
          <w:rFonts w:ascii="宋体" w:eastAsia="宋体" w:hAnsi="宋体" w:hint="default"/>
          <w:sz w:val="32"/>
          <w:szCs w:val="32"/>
        </w:rPr>
      </w:pPr>
      <w:bookmarkStart w:id="28" w:name="_Toc348009999"/>
      <w:bookmarkStart w:id="29" w:name="_Toc213141099"/>
      <w:bookmarkStart w:id="30" w:name="_Toc396092989"/>
      <w:r>
        <w:rPr>
          <w:bCs/>
          <w:sz w:val="32"/>
          <w:szCs w:val="32"/>
        </w:rPr>
        <w:t>3、</w:t>
      </w:r>
      <w:r>
        <w:rPr>
          <w:rFonts w:ascii="宋体" w:eastAsia="宋体" w:hAnsi="宋体"/>
          <w:sz w:val="32"/>
          <w:szCs w:val="32"/>
        </w:rPr>
        <w:t>技术规格偏离表</w:t>
      </w:r>
      <w:bookmarkEnd w:id="28"/>
      <w:bookmarkEnd w:id="29"/>
      <w:bookmarkEnd w:id="30"/>
    </w:p>
    <w:p>
      <w:pPr>
        <w:rPr>
          <w:rFonts w:ascii="宋体" w:hAnsi="宋体" w:hint="default"/>
        </w:rPr>
      </w:pPr>
    </w:p>
    <w:p>
      <w:pPr>
        <w:pStyle w:val="PlainText"/>
        <w:ind w:firstLine="240" w:firstLineChars="100"/>
        <w:rPr>
          <w:rFonts w:hAnsi="宋体" w:hint="default"/>
          <w:szCs w:val="21"/>
        </w:rPr>
      </w:pPr>
      <w:r>
        <w:rPr>
          <w:rFonts w:hAnsi="宋体"/>
          <w:szCs w:val="21"/>
        </w:rPr>
        <w:t xml:space="preserve"> 请按投标产品的实际技术参数，逐条对应招标文件的“</w:t>
      </w:r>
      <w:r>
        <w:rPr>
          <w:rFonts w:hAnsi="宋体"/>
          <w:b/>
          <w:szCs w:val="21"/>
        </w:rPr>
        <w:t>货物需求及技术要求</w:t>
      </w:r>
      <w:r>
        <w:rPr>
          <w:rFonts w:hAnsi="宋体"/>
          <w:szCs w:val="21"/>
        </w:rPr>
        <w:t>”中要求的技术规范认真填写该表，该表不能作为投标产品的技术文件。</w:t>
      </w:r>
    </w:p>
    <w:p>
      <w:pPr>
        <w:pStyle w:val="PlainText"/>
        <w:ind w:firstLine="240" w:firstLineChars="100"/>
        <w:rPr>
          <w:rFonts w:hAnsi="宋体" w:hint="default"/>
          <w:szCs w:val="21"/>
        </w:rPr>
      </w:pPr>
    </w:p>
    <w:p>
      <w:pPr>
        <w:pStyle w:val="PlainText"/>
        <w:rPr>
          <w:rFonts w:hAnsi="宋体" w:hint="default"/>
          <w:b/>
          <w:szCs w:val="21"/>
          <w:u w:val="single"/>
        </w:rPr>
      </w:pPr>
      <w:r>
        <w:rPr>
          <w:rFonts w:hAnsi="宋体"/>
          <w:b/>
          <w:szCs w:val="21"/>
        </w:rPr>
        <w:t>项目名称：                                           项目编号：</w:t>
      </w:r>
    </w:p>
    <w:tbl>
      <w:tblPr>
        <w:tblStyle w:val="TableNormal"/>
        <w:tblpPr w:leftFromText="180" w:rightFromText="180" w:vertAnchor="text" w:horzAnchor="page" w:tblpX="1130" w:tblpY="340"/>
        <w:tblOverlap w:val="never"/>
        <w:tblW w:w="1018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08"/>
        <w:gridCol w:w="899"/>
        <w:gridCol w:w="2521"/>
        <w:gridCol w:w="2700"/>
        <w:gridCol w:w="2021"/>
        <w:gridCol w:w="1039"/>
      </w:tblGrid>
      <w:tr>
        <w:tblPrEx>
          <w:tblW w:w="1018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23"/>
        </w:trPr>
        <w:tc>
          <w:tcPr>
            <w:tcW w:w="1008" w:type="dxa"/>
            <w:vAlign w:val="center"/>
          </w:tcPr>
          <w:p>
            <w:pPr>
              <w:jc w:val="center"/>
              <w:rPr>
                <w:rFonts w:ascii="宋体" w:hAnsi="宋体" w:hint="default"/>
                <w:b/>
                <w:szCs w:val="21"/>
              </w:rPr>
            </w:pPr>
            <w:r>
              <w:rPr>
                <w:rFonts w:ascii="宋体" w:hAnsi="宋体"/>
                <w:b/>
                <w:szCs w:val="21"/>
              </w:rPr>
              <w:t>产品名称</w:t>
            </w:r>
          </w:p>
        </w:tc>
        <w:tc>
          <w:tcPr>
            <w:tcW w:w="899" w:type="dxa"/>
            <w:vAlign w:val="center"/>
          </w:tcPr>
          <w:p>
            <w:pPr>
              <w:jc w:val="center"/>
              <w:rPr>
                <w:rFonts w:ascii="宋体" w:hAnsi="宋体" w:hint="default"/>
                <w:b/>
                <w:szCs w:val="21"/>
              </w:rPr>
            </w:pPr>
            <w:r>
              <w:rPr>
                <w:rFonts w:ascii="宋体" w:hAnsi="宋体"/>
                <w:b/>
                <w:szCs w:val="21"/>
              </w:rPr>
              <w:t>序号</w:t>
            </w:r>
          </w:p>
        </w:tc>
        <w:tc>
          <w:tcPr>
            <w:tcW w:w="2521" w:type="dxa"/>
            <w:vAlign w:val="center"/>
          </w:tcPr>
          <w:p>
            <w:pPr>
              <w:jc w:val="center"/>
              <w:rPr>
                <w:rFonts w:ascii="宋体" w:hAnsi="宋体" w:hint="default"/>
                <w:b/>
                <w:szCs w:val="21"/>
              </w:rPr>
            </w:pPr>
            <w:r>
              <w:rPr>
                <w:rFonts w:ascii="宋体" w:hAnsi="宋体"/>
                <w:b/>
                <w:szCs w:val="21"/>
              </w:rPr>
              <w:t>招标文件技术规范、要求</w:t>
            </w:r>
          </w:p>
        </w:tc>
        <w:tc>
          <w:tcPr>
            <w:tcW w:w="2700" w:type="dxa"/>
            <w:vAlign w:val="center"/>
          </w:tcPr>
          <w:p>
            <w:pPr>
              <w:jc w:val="center"/>
              <w:rPr>
                <w:rFonts w:ascii="宋体" w:hAnsi="宋体" w:hint="default"/>
                <w:b/>
                <w:szCs w:val="21"/>
              </w:rPr>
            </w:pPr>
            <w:r>
              <w:rPr>
                <w:rFonts w:ascii="宋体" w:hAnsi="宋体"/>
                <w:b/>
                <w:szCs w:val="21"/>
              </w:rPr>
              <w:t>型号、技术参数及配置</w:t>
            </w:r>
          </w:p>
        </w:tc>
        <w:tc>
          <w:tcPr>
            <w:tcW w:w="2021" w:type="dxa"/>
            <w:vAlign w:val="center"/>
          </w:tcPr>
          <w:p>
            <w:pPr>
              <w:jc w:val="center"/>
              <w:rPr>
                <w:rFonts w:ascii="宋体" w:hAnsi="宋体" w:hint="default"/>
                <w:b/>
                <w:szCs w:val="21"/>
              </w:rPr>
            </w:pPr>
            <w:r>
              <w:rPr>
                <w:rFonts w:ascii="宋体" w:hAnsi="宋体"/>
                <w:b/>
                <w:szCs w:val="21"/>
              </w:rPr>
              <w:t>偏离</w:t>
            </w:r>
          </w:p>
        </w:tc>
        <w:tc>
          <w:tcPr>
            <w:tcW w:w="1039" w:type="dxa"/>
            <w:vAlign w:val="center"/>
          </w:tcPr>
          <w:p>
            <w:pPr>
              <w:ind w:right="82" w:rightChars="34"/>
              <w:jc w:val="both"/>
              <w:rPr>
                <w:rFonts w:ascii="宋体" w:hAnsi="宋体" w:hint="default"/>
                <w:b/>
                <w:szCs w:val="21"/>
              </w:rPr>
            </w:pPr>
            <w:r>
              <w:rPr>
                <w:rFonts w:ascii="宋体" w:hAnsi="宋体"/>
                <w:b/>
                <w:szCs w:val="21"/>
              </w:rPr>
              <w:t>备注</w:t>
            </w:r>
          </w:p>
        </w:tc>
      </w:tr>
      <w:tr>
        <w:tblPrEx>
          <w:tblW w:w="10188" w:type="dxa"/>
          <w:tblInd w:w="0" w:type="dxa"/>
          <w:tblLayout w:type="fixed"/>
          <w:tblCellMar>
            <w:top w:w="0" w:type="dxa"/>
            <w:left w:w="108" w:type="dxa"/>
            <w:bottom w:w="0" w:type="dxa"/>
            <w:right w:w="108" w:type="dxa"/>
          </w:tblCellMar>
        </w:tblPrEx>
        <w:trPr>
          <w:cantSplit/>
          <w:trHeight w:val="305"/>
        </w:trPr>
        <w:tc>
          <w:tcPr>
            <w:tcW w:w="1008" w:type="dxa"/>
            <w:vAlign w:val="center"/>
          </w:tcPr>
          <w:p>
            <w:pPr>
              <w:spacing w:line="360" w:lineRule="auto"/>
              <w:jc w:val="center"/>
              <w:rPr>
                <w:rFonts w:ascii="宋体" w:hAnsi="宋体" w:hint="default"/>
                <w:szCs w:val="21"/>
              </w:rPr>
            </w:pPr>
          </w:p>
        </w:tc>
        <w:tc>
          <w:tcPr>
            <w:tcW w:w="899" w:type="dxa"/>
            <w:vAlign w:val="center"/>
          </w:tcPr>
          <w:p>
            <w:pPr>
              <w:spacing w:line="360" w:lineRule="auto"/>
              <w:jc w:val="center"/>
              <w:rPr>
                <w:rFonts w:ascii="宋体" w:hAnsi="宋体" w:hint="default"/>
                <w:szCs w:val="21"/>
              </w:rPr>
            </w:pPr>
          </w:p>
        </w:tc>
        <w:tc>
          <w:tcPr>
            <w:tcW w:w="2521" w:type="dxa"/>
            <w:vAlign w:val="center"/>
          </w:tcPr>
          <w:p>
            <w:pPr>
              <w:spacing w:line="360" w:lineRule="auto"/>
              <w:jc w:val="center"/>
              <w:rPr>
                <w:rFonts w:ascii="宋体" w:hAnsi="宋体" w:hint="default"/>
                <w:szCs w:val="21"/>
              </w:rPr>
            </w:pPr>
          </w:p>
        </w:tc>
        <w:tc>
          <w:tcPr>
            <w:tcW w:w="2700" w:type="dxa"/>
            <w:vAlign w:val="center"/>
          </w:tcPr>
          <w:p>
            <w:pPr>
              <w:spacing w:line="360" w:lineRule="auto"/>
              <w:jc w:val="center"/>
              <w:rPr>
                <w:rFonts w:ascii="宋体" w:hAnsi="宋体" w:hint="default"/>
                <w:szCs w:val="21"/>
              </w:rPr>
            </w:pPr>
          </w:p>
        </w:tc>
        <w:tc>
          <w:tcPr>
            <w:tcW w:w="2021" w:type="dxa"/>
          </w:tcPr>
          <w:p>
            <w:pPr>
              <w:spacing w:line="360" w:lineRule="auto"/>
              <w:jc w:val="center"/>
              <w:rPr>
                <w:rFonts w:ascii="宋体" w:hAnsi="宋体" w:hint="default"/>
                <w:szCs w:val="21"/>
              </w:rPr>
            </w:pPr>
          </w:p>
        </w:tc>
        <w:tc>
          <w:tcPr>
            <w:tcW w:w="1039" w:type="dxa"/>
            <w:vAlign w:val="center"/>
          </w:tcPr>
          <w:p>
            <w:pPr>
              <w:spacing w:line="360" w:lineRule="auto"/>
              <w:jc w:val="center"/>
              <w:rPr>
                <w:rFonts w:ascii="宋体" w:hAnsi="宋体" w:hint="default"/>
                <w:szCs w:val="21"/>
              </w:rPr>
            </w:pPr>
          </w:p>
        </w:tc>
      </w:tr>
      <w:tr>
        <w:tblPrEx>
          <w:tblW w:w="10188" w:type="dxa"/>
          <w:tblInd w:w="0" w:type="dxa"/>
          <w:tblLayout w:type="fixed"/>
          <w:tblCellMar>
            <w:top w:w="0" w:type="dxa"/>
            <w:left w:w="108" w:type="dxa"/>
            <w:bottom w:w="0" w:type="dxa"/>
            <w:right w:w="108" w:type="dxa"/>
          </w:tblCellMar>
        </w:tblPrEx>
        <w:trPr>
          <w:cantSplit/>
          <w:trHeight w:val="297"/>
        </w:trPr>
        <w:tc>
          <w:tcPr>
            <w:tcW w:w="1008" w:type="dxa"/>
            <w:vAlign w:val="center"/>
          </w:tcPr>
          <w:p>
            <w:pPr>
              <w:spacing w:line="360" w:lineRule="auto"/>
              <w:jc w:val="center"/>
              <w:rPr>
                <w:rFonts w:ascii="宋体" w:hAnsi="宋体" w:hint="default"/>
                <w:szCs w:val="21"/>
              </w:rPr>
            </w:pPr>
          </w:p>
        </w:tc>
        <w:tc>
          <w:tcPr>
            <w:tcW w:w="899" w:type="dxa"/>
            <w:vAlign w:val="center"/>
          </w:tcPr>
          <w:p>
            <w:pPr>
              <w:spacing w:line="360" w:lineRule="auto"/>
              <w:jc w:val="center"/>
              <w:rPr>
                <w:rFonts w:ascii="宋体" w:hAnsi="宋体" w:hint="default"/>
                <w:szCs w:val="21"/>
              </w:rPr>
            </w:pPr>
          </w:p>
        </w:tc>
        <w:tc>
          <w:tcPr>
            <w:tcW w:w="2521" w:type="dxa"/>
            <w:vAlign w:val="center"/>
          </w:tcPr>
          <w:p>
            <w:pPr>
              <w:spacing w:line="360" w:lineRule="auto"/>
              <w:jc w:val="center"/>
              <w:rPr>
                <w:rFonts w:ascii="宋体" w:hAnsi="宋体" w:hint="default"/>
                <w:szCs w:val="21"/>
              </w:rPr>
            </w:pPr>
          </w:p>
        </w:tc>
        <w:tc>
          <w:tcPr>
            <w:tcW w:w="2700" w:type="dxa"/>
            <w:vAlign w:val="center"/>
          </w:tcPr>
          <w:p>
            <w:pPr>
              <w:spacing w:line="360" w:lineRule="auto"/>
              <w:jc w:val="center"/>
              <w:rPr>
                <w:rFonts w:ascii="宋体" w:hAnsi="宋体" w:hint="default"/>
                <w:szCs w:val="21"/>
              </w:rPr>
            </w:pPr>
          </w:p>
        </w:tc>
        <w:tc>
          <w:tcPr>
            <w:tcW w:w="2021" w:type="dxa"/>
          </w:tcPr>
          <w:p>
            <w:pPr>
              <w:spacing w:line="360" w:lineRule="auto"/>
              <w:jc w:val="center"/>
              <w:rPr>
                <w:rFonts w:ascii="宋体" w:hAnsi="宋体" w:hint="default"/>
                <w:szCs w:val="21"/>
              </w:rPr>
            </w:pPr>
          </w:p>
        </w:tc>
        <w:tc>
          <w:tcPr>
            <w:tcW w:w="1039" w:type="dxa"/>
            <w:vAlign w:val="center"/>
          </w:tcPr>
          <w:p>
            <w:pPr>
              <w:spacing w:line="360" w:lineRule="auto"/>
              <w:jc w:val="center"/>
              <w:rPr>
                <w:rFonts w:ascii="宋体" w:hAnsi="宋体" w:hint="default"/>
                <w:szCs w:val="21"/>
              </w:rPr>
            </w:pPr>
          </w:p>
        </w:tc>
      </w:tr>
      <w:tr>
        <w:tblPrEx>
          <w:tblW w:w="10188" w:type="dxa"/>
          <w:tblInd w:w="0" w:type="dxa"/>
          <w:tblLayout w:type="fixed"/>
          <w:tblCellMar>
            <w:top w:w="0" w:type="dxa"/>
            <w:left w:w="108" w:type="dxa"/>
            <w:bottom w:w="0" w:type="dxa"/>
            <w:right w:w="108" w:type="dxa"/>
          </w:tblCellMar>
        </w:tblPrEx>
        <w:trPr>
          <w:cantSplit/>
          <w:trHeight w:val="119"/>
        </w:trPr>
        <w:tc>
          <w:tcPr>
            <w:tcW w:w="1008" w:type="dxa"/>
            <w:vAlign w:val="center"/>
          </w:tcPr>
          <w:p>
            <w:pPr>
              <w:spacing w:line="360" w:lineRule="auto"/>
              <w:jc w:val="center"/>
              <w:rPr>
                <w:rFonts w:ascii="宋体" w:hAnsi="宋体" w:hint="default"/>
                <w:szCs w:val="21"/>
              </w:rPr>
            </w:pPr>
          </w:p>
        </w:tc>
        <w:tc>
          <w:tcPr>
            <w:tcW w:w="899" w:type="dxa"/>
            <w:vAlign w:val="center"/>
          </w:tcPr>
          <w:p>
            <w:pPr>
              <w:spacing w:line="360" w:lineRule="auto"/>
              <w:jc w:val="center"/>
              <w:rPr>
                <w:rFonts w:ascii="宋体" w:hAnsi="宋体" w:hint="default"/>
                <w:szCs w:val="21"/>
              </w:rPr>
            </w:pPr>
          </w:p>
        </w:tc>
        <w:tc>
          <w:tcPr>
            <w:tcW w:w="2521" w:type="dxa"/>
            <w:vAlign w:val="center"/>
          </w:tcPr>
          <w:p>
            <w:pPr>
              <w:spacing w:line="360" w:lineRule="auto"/>
              <w:jc w:val="center"/>
              <w:rPr>
                <w:rFonts w:ascii="宋体" w:hAnsi="宋体" w:hint="default"/>
                <w:szCs w:val="21"/>
              </w:rPr>
            </w:pPr>
          </w:p>
        </w:tc>
        <w:tc>
          <w:tcPr>
            <w:tcW w:w="2700" w:type="dxa"/>
            <w:vAlign w:val="center"/>
          </w:tcPr>
          <w:p>
            <w:pPr>
              <w:spacing w:line="360" w:lineRule="auto"/>
              <w:jc w:val="center"/>
              <w:rPr>
                <w:rFonts w:ascii="宋体" w:hAnsi="宋体" w:hint="default"/>
                <w:szCs w:val="21"/>
              </w:rPr>
            </w:pPr>
          </w:p>
        </w:tc>
        <w:tc>
          <w:tcPr>
            <w:tcW w:w="2021" w:type="dxa"/>
          </w:tcPr>
          <w:p>
            <w:pPr>
              <w:spacing w:line="360" w:lineRule="auto"/>
              <w:jc w:val="center"/>
              <w:rPr>
                <w:rFonts w:ascii="宋体" w:hAnsi="宋体" w:hint="default"/>
                <w:szCs w:val="21"/>
              </w:rPr>
            </w:pPr>
          </w:p>
        </w:tc>
        <w:tc>
          <w:tcPr>
            <w:tcW w:w="1039" w:type="dxa"/>
            <w:vAlign w:val="center"/>
          </w:tcPr>
          <w:p>
            <w:pPr>
              <w:spacing w:line="360" w:lineRule="auto"/>
              <w:jc w:val="center"/>
              <w:rPr>
                <w:rFonts w:ascii="宋体" w:hAnsi="宋体" w:hint="default"/>
                <w:szCs w:val="21"/>
              </w:rPr>
            </w:pPr>
          </w:p>
        </w:tc>
      </w:tr>
    </w:tbl>
    <w:p>
      <w:pPr>
        <w:pStyle w:val="PlainText"/>
        <w:spacing w:line="360" w:lineRule="auto"/>
        <w:rPr>
          <w:rFonts w:hAnsi="宋体" w:hint="default"/>
          <w:szCs w:val="21"/>
        </w:rPr>
      </w:pPr>
      <w:r>
        <w:rPr>
          <w:rFonts w:hAnsi="宋体"/>
          <w:szCs w:val="21"/>
        </w:rPr>
        <w:t>注：1、表格中“偏离”一列，投标人只能如实填写“正偏离”、“负偏离”或“无偏离”。凡投标内容高于招标文件要求的，按“正偏离”填写；低于招标文件要求的，按“负偏离”填写；满足招标文件要求的，按“无偏离”填写。并在“</w:t>
      </w:r>
      <w:r>
        <w:rPr>
          <w:rFonts w:hAnsi="宋体"/>
          <w:b/>
          <w:szCs w:val="21"/>
        </w:rPr>
        <w:t>型号、技术参数及配置”一列中</w:t>
      </w:r>
      <w:r>
        <w:rPr>
          <w:rFonts w:hAnsi="宋体"/>
          <w:szCs w:val="21"/>
        </w:rPr>
        <w:t>写明技术参数。</w:t>
      </w:r>
    </w:p>
    <w:p>
      <w:pPr>
        <w:pStyle w:val="PlainText"/>
        <w:spacing w:line="360" w:lineRule="auto"/>
        <w:rPr>
          <w:rFonts w:hAnsi="宋体" w:hint="default"/>
          <w:szCs w:val="21"/>
        </w:rPr>
      </w:pPr>
      <w:r>
        <w:rPr>
          <w:rFonts w:hAnsi="宋体"/>
          <w:szCs w:val="21"/>
        </w:rPr>
        <w:t>2、序号应对应该产品在</w:t>
      </w:r>
      <w:r>
        <w:rPr>
          <w:rFonts w:hAnsi="宋体"/>
          <w:bCs/>
          <w:szCs w:val="21"/>
        </w:rPr>
        <w:t>第五章《货物需求及技术要求》中的序号。</w:t>
      </w:r>
    </w:p>
    <w:p>
      <w:pPr>
        <w:pStyle w:val="PlainText"/>
        <w:spacing w:line="360" w:lineRule="auto"/>
        <w:rPr>
          <w:rFonts w:hAnsi="宋体" w:hint="default"/>
          <w:b/>
          <w:bCs/>
          <w:szCs w:val="21"/>
        </w:rPr>
      </w:pPr>
      <w:r>
        <w:rPr>
          <w:rFonts w:hAnsi="宋体"/>
          <w:b/>
          <w:bCs/>
          <w:szCs w:val="21"/>
        </w:rPr>
        <w:t>3、投标人应将支持该项技术要求响应的技术支持资料在投标文件中的索引（页码及条目号等）标注在“技术支持资料索引”一栏中。</w:t>
      </w:r>
    </w:p>
    <w:p>
      <w:pPr>
        <w:pStyle w:val="PlainText"/>
        <w:rPr>
          <w:rFonts w:hAnsi="宋体" w:hint="default"/>
          <w:b/>
          <w:szCs w:val="21"/>
        </w:rPr>
      </w:pPr>
      <w:r>
        <w:rPr>
          <w:rFonts w:hAnsi="宋体"/>
          <w:b/>
          <w:szCs w:val="21"/>
        </w:rPr>
        <w:t>投标人（电子公章） ：</w:t>
      </w:r>
    </w:p>
    <w:p>
      <w:pPr>
        <w:pStyle w:val="PlainText"/>
        <w:rPr>
          <w:rFonts w:hAnsi="宋体" w:hint="default"/>
          <w:b/>
          <w:szCs w:val="21"/>
        </w:rPr>
      </w:pPr>
      <w:r>
        <w:rPr>
          <w:rFonts w:hAnsi="宋体"/>
          <w:b/>
          <w:szCs w:val="21"/>
        </w:rPr>
        <w:t>法定代表人或其委托代理人（电子签名和电子签章）：</w:t>
      </w:r>
    </w:p>
    <w:p>
      <w:pPr>
        <w:pStyle w:val="PlainText"/>
        <w:rPr>
          <w:rFonts w:hAnsi="宋体" w:hint="default"/>
          <w:b/>
          <w:szCs w:val="21"/>
        </w:rPr>
      </w:pPr>
      <w:r>
        <w:rPr>
          <w:rFonts w:hAnsi="宋体"/>
          <w:b/>
          <w:szCs w:val="21"/>
        </w:rPr>
        <w:t xml:space="preserve">日   期： </w:t>
      </w:r>
      <w:r>
        <w:rPr>
          <w:rFonts w:hAnsi="宋体"/>
          <w:b/>
          <w:szCs w:val="21"/>
          <w:u w:val="single"/>
        </w:rPr>
        <w:t xml:space="preserve">              </w:t>
      </w:r>
    </w:p>
    <w:p>
      <w:pPr>
        <w:pStyle w:val="PlainText"/>
        <w:rPr>
          <w:rFonts w:hAnsi="宋体" w:hint="default"/>
          <w:sz w:val="32"/>
          <w:szCs w:val="32"/>
        </w:rPr>
      </w:pPr>
      <w:r>
        <w:rPr>
          <w:rFonts w:hAnsi="宋体"/>
          <w:szCs w:val="21"/>
        </w:rPr>
        <w:br w:type="page"/>
      </w:r>
      <w:r>
        <w:rPr>
          <w:rFonts w:hAnsi="宋体"/>
          <w:sz w:val="32"/>
          <w:szCs w:val="32"/>
        </w:rPr>
        <w:t>4、售后服务承诺书</w:t>
      </w:r>
    </w:p>
    <w:p>
      <w:pPr>
        <w:pStyle w:val="PlainText"/>
        <w:rPr>
          <w:rFonts w:hAnsi="宋体" w:hint="default"/>
          <w:szCs w:val="21"/>
        </w:rPr>
      </w:pPr>
      <w:r>
        <w:rPr>
          <w:rFonts w:hAnsi="宋体"/>
          <w:sz w:val="32"/>
          <w:szCs w:val="32"/>
        </w:rPr>
        <w:t xml:space="preserve"> </w:t>
      </w:r>
      <w:r>
        <w:rPr>
          <w:rFonts w:hAnsi="宋体"/>
          <w:szCs w:val="21"/>
        </w:rPr>
        <w:t xml:space="preserve">  应包括以下内容（如果有格式自拟）</w:t>
      </w:r>
    </w:p>
    <w:p>
      <w:pPr>
        <w:pStyle w:val="PlainText"/>
        <w:ind w:firstLine="480"/>
        <w:rPr>
          <w:rFonts w:hAnsi="宋体" w:hint="default"/>
          <w:szCs w:val="21"/>
        </w:rPr>
      </w:pPr>
      <w:r>
        <w:rPr>
          <w:rFonts w:hAnsi="宋体"/>
          <w:szCs w:val="21"/>
        </w:rPr>
        <w:t>1.售后服务能力；</w:t>
      </w:r>
    </w:p>
    <w:p>
      <w:pPr>
        <w:pStyle w:val="PlainText"/>
        <w:ind w:firstLine="480"/>
        <w:rPr>
          <w:rFonts w:hAnsi="宋体" w:hint="default"/>
          <w:szCs w:val="21"/>
        </w:rPr>
      </w:pPr>
      <w:r>
        <w:rPr>
          <w:rFonts w:hAnsi="宋体"/>
          <w:szCs w:val="21"/>
        </w:rPr>
        <w:t>2.售后服务网点；</w:t>
      </w:r>
    </w:p>
    <w:p>
      <w:pPr>
        <w:pStyle w:val="PlainText"/>
        <w:ind w:firstLine="480"/>
        <w:rPr>
          <w:rFonts w:hAnsi="宋体" w:hint="default"/>
          <w:szCs w:val="21"/>
        </w:rPr>
      </w:pPr>
      <w:r>
        <w:rPr>
          <w:rFonts w:hAnsi="宋体"/>
          <w:szCs w:val="21"/>
        </w:rPr>
        <w:t>3.产品应实行“三包”；</w:t>
      </w:r>
    </w:p>
    <w:p>
      <w:pPr>
        <w:pStyle w:val="PlainText"/>
        <w:ind w:firstLine="480"/>
        <w:rPr>
          <w:rFonts w:hAnsi="宋体" w:hint="default"/>
          <w:szCs w:val="21"/>
        </w:rPr>
      </w:pPr>
      <w:r>
        <w:rPr>
          <w:rFonts w:hAnsi="宋体"/>
          <w:szCs w:val="21"/>
        </w:rPr>
        <w:t>4.交货期和交货地点及质量保障；</w:t>
      </w:r>
    </w:p>
    <w:p>
      <w:pPr>
        <w:spacing w:line="360" w:lineRule="auto"/>
        <w:ind w:firstLine="480" w:firstLineChars="200"/>
        <w:rPr>
          <w:rFonts w:ascii="宋体" w:hAnsi="宋体" w:hint="default"/>
          <w:szCs w:val="21"/>
        </w:rPr>
      </w:pPr>
      <w:r>
        <w:rPr>
          <w:rFonts w:ascii="宋体" w:hAnsi="宋体"/>
          <w:szCs w:val="21"/>
        </w:rPr>
        <w:t>……</w:t>
      </w:r>
    </w:p>
    <w:p>
      <w:pPr>
        <w:pStyle w:val="PlainText"/>
        <w:ind w:firstLine="480"/>
        <w:rPr>
          <w:rFonts w:hAnsi="宋体" w:hint="default"/>
          <w:szCs w:val="21"/>
        </w:rPr>
      </w:pPr>
      <w:r>
        <w:rPr>
          <w:rFonts w:hAnsi="宋体"/>
          <w:szCs w:val="21"/>
        </w:rPr>
        <w:t xml:space="preserve"> </w:t>
      </w:r>
    </w:p>
    <w:p>
      <w:pPr>
        <w:rPr>
          <w:rFonts w:ascii="宋体" w:hAnsi="宋体" w:hint="default"/>
        </w:rPr>
      </w:pPr>
    </w:p>
    <w:p>
      <w:pPr>
        <w:pStyle w:val="PlainText"/>
        <w:jc w:val="center"/>
        <w:rPr>
          <w:rFonts w:hAnsi="宋体" w:hint="default"/>
          <w:szCs w:val="21"/>
        </w:rPr>
      </w:pPr>
      <w:r>
        <w:rPr>
          <w:rFonts w:hAnsi="宋体"/>
          <w:szCs w:val="21"/>
        </w:rPr>
        <w:t>(由投标人按《货物需求及技术要求》要求自行分别填写)</w:t>
      </w:r>
    </w:p>
    <w:p>
      <w:pPr>
        <w:pStyle w:val="PlainText"/>
        <w:rPr>
          <w:rFonts w:hAnsi="宋体" w:hint="default"/>
        </w:rPr>
      </w:pPr>
    </w:p>
    <w:p>
      <w:pPr>
        <w:pStyle w:val="PlainText"/>
        <w:rPr>
          <w:rFonts w:hAnsi="宋体" w:hint="default"/>
        </w:rPr>
      </w:pPr>
    </w:p>
    <w:p>
      <w:pPr>
        <w:pStyle w:val="PlainText"/>
        <w:rPr>
          <w:rFonts w:hAnsi="宋体" w:hint="default"/>
        </w:rPr>
      </w:pPr>
    </w:p>
    <w:p>
      <w:pPr>
        <w:spacing w:line="360" w:lineRule="auto"/>
        <w:ind w:firstLine="2" w:firstLineChars="1"/>
        <w:rPr>
          <w:rFonts w:hAnsi="宋体" w:hint="default"/>
          <w:szCs w:val="21"/>
        </w:rPr>
      </w:pPr>
      <w:r>
        <w:rPr>
          <w:rFonts w:hAnsi="宋体"/>
          <w:szCs w:val="21"/>
        </w:rPr>
        <w:t xml:space="preserve"> 投标人（电子公章） ：</w:t>
      </w:r>
    </w:p>
    <w:p>
      <w:pPr>
        <w:spacing w:line="360" w:lineRule="auto"/>
        <w:ind w:firstLine="2" w:firstLineChars="1"/>
        <w:rPr>
          <w:rFonts w:hAnsi="宋体" w:hint="default"/>
          <w:szCs w:val="21"/>
        </w:rPr>
      </w:pPr>
      <w:r>
        <w:rPr>
          <w:rFonts w:hAnsi="宋体"/>
          <w:szCs w:val="21"/>
        </w:rPr>
        <w:t>法定代表人或其委托代理人（电子签名和电子签章）：</w:t>
      </w:r>
    </w:p>
    <w:p>
      <w:pPr>
        <w:pStyle w:val="PlainText"/>
        <w:rPr>
          <w:rFonts w:hAnsi="宋体" w:hint="default"/>
          <w:b/>
          <w:szCs w:val="21"/>
        </w:rPr>
      </w:pPr>
      <w:r>
        <w:rPr>
          <w:rFonts w:hAnsi="宋体"/>
          <w:b/>
          <w:szCs w:val="21"/>
        </w:rPr>
        <w:t xml:space="preserve">                       </w:t>
      </w:r>
    </w:p>
    <w:p>
      <w:pPr>
        <w:pStyle w:val="PlainText"/>
        <w:rPr>
          <w:rFonts w:hAnsi="宋体" w:hint="default"/>
          <w:b/>
          <w:szCs w:val="21"/>
        </w:rPr>
      </w:pPr>
      <w:r>
        <w:rPr>
          <w:rFonts w:hAnsi="宋体"/>
          <w:b/>
          <w:szCs w:val="21"/>
        </w:rPr>
        <w:t xml:space="preserve">日   期： </w:t>
      </w:r>
      <w:r>
        <w:rPr>
          <w:rFonts w:hAnsi="宋体"/>
          <w:b/>
          <w:szCs w:val="21"/>
          <w:u w:val="single"/>
        </w:rPr>
        <w:t xml:space="preserve">              </w:t>
      </w:r>
    </w:p>
    <w:p>
      <w:pPr>
        <w:rPr>
          <w:rFonts w:hAnsi="宋体" w:hint="default"/>
          <w:szCs w:val="21"/>
        </w:rPr>
      </w:pPr>
    </w:p>
    <w:p>
      <w:pPr>
        <w:rPr>
          <w:rFonts w:hAnsi="宋体" w:hint="default"/>
          <w:szCs w:val="21"/>
        </w:rPr>
      </w:pPr>
    </w:p>
    <w:p>
      <w:pPr>
        <w:pStyle w:val="BodyText"/>
        <w:rPr>
          <w:rFonts w:hAnsi="宋体" w:hint="default"/>
          <w:szCs w:val="21"/>
        </w:rPr>
      </w:pPr>
    </w:p>
    <w:p>
      <w:pPr>
        <w:pStyle w:val="a"/>
        <w:rPr>
          <w:rFonts w:hAnsi="宋体" w:hint="default"/>
          <w:szCs w:val="21"/>
        </w:rPr>
      </w:pPr>
    </w:p>
    <w:p>
      <w:pPr>
        <w:rPr>
          <w:rFonts w:hint="default"/>
        </w:rPr>
      </w:pPr>
    </w:p>
    <w:p>
      <w:pPr>
        <w:rPr>
          <w:rFonts w:hAnsi="宋体" w:hint="default"/>
          <w:szCs w:val="21"/>
        </w:rPr>
      </w:pPr>
    </w:p>
    <w:p>
      <w:pPr>
        <w:pStyle w:val="PlainText"/>
        <w:spacing w:line="600" w:lineRule="exact"/>
        <w:jc w:val="center"/>
        <w:rPr>
          <w:rFonts w:hAnsi="宋体" w:hint="default"/>
          <w:sz w:val="36"/>
        </w:rPr>
      </w:pPr>
      <w:bookmarkStart w:id="31" w:name="_Toc396093001"/>
      <w:r>
        <w:rPr>
          <w:rFonts w:hAnsi="宋体"/>
          <w:b/>
          <w:bCs/>
          <w:sz w:val="36"/>
        </w:rPr>
        <w:t>第五章技术要求</w:t>
      </w:r>
      <w:bookmarkEnd w:id="31"/>
    </w:p>
    <w:tbl>
      <w:tblPr>
        <w:tblStyle w:val="TableNormal"/>
        <w:tblW w:w="0" w:type="auto"/>
        <w:jc w:val="center"/>
        <w:tblLayout w:type="fixed"/>
        <w:tblCellMar>
          <w:top w:w="15" w:type="dxa"/>
          <w:left w:w="15" w:type="dxa"/>
          <w:bottom w:w="15" w:type="dxa"/>
          <w:right w:w="15" w:type="dxa"/>
        </w:tblCellMar>
      </w:tblPr>
      <w:tblGrid>
        <w:gridCol w:w="649"/>
        <w:gridCol w:w="977"/>
        <w:gridCol w:w="697"/>
        <w:gridCol w:w="938"/>
        <w:gridCol w:w="4835"/>
        <w:gridCol w:w="1009"/>
      </w:tblGrid>
      <w:tr>
        <w:tblPrEx>
          <w:tblW w:w="0" w:type="auto"/>
          <w:jc w:val="center"/>
          <w:tblLayout w:type="fixed"/>
          <w:tblCellMar>
            <w:top w:w="15" w:type="dxa"/>
            <w:left w:w="15" w:type="dxa"/>
            <w:bottom w:w="15" w:type="dxa"/>
            <w:right w:w="15" w:type="dxa"/>
          </w:tblCellMar>
        </w:tblPrEx>
        <w:trPr>
          <w:trHeight w:val="735"/>
          <w:jc w:val="center"/>
        </w:trPr>
        <w:tc>
          <w:tcPr>
            <w:tcW w:w="649" w:type="dxa"/>
            <w:tcBorders>
              <w:top w:val="single" w:sz="4" w:space="0" w:color="444444"/>
              <w:left w:val="single" w:sz="4" w:space="0" w:color="444444"/>
              <w:bottom w:val="single" w:sz="4" w:space="0" w:color="auto"/>
              <w:right w:val="single" w:sz="4" w:space="0" w:color="444444"/>
            </w:tcBorders>
            <w:vAlign w:val="center"/>
          </w:tcPr>
          <w:p>
            <w:pPr>
              <w:widowControl/>
              <w:jc w:val="center"/>
              <w:textAlignment w:val="center"/>
              <w:rPr>
                <w:rFonts w:ascii="宋体" w:hAnsi="宋体" w:cs="宋体" w:hint="default"/>
                <w:b/>
                <w:bCs/>
                <w:color w:val="444444"/>
                <w:sz w:val="20"/>
              </w:rPr>
            </w:pPr>
            <w:r>
              <w:rPr>
                <w:rFonts w:ascii="宋体" w:hAnsi="宋体" w:cs="宋体"/>
                <w:b/>
                <w:bCs/>
                <w:color w:val="444444"/>
                <w:sz w:val="20"/>
              </w:rPr>
              <w:t>编号</w:t>
            </w:r>
          </w:p>
        </w:tc>
        <w:tc>
          <w:tcPr>
            <w:tcW w:w="977" w:type="dxa"/>
            <w:tcBorders>
              <w:top w:val="single" w:sz="4" w:space="0" w:color="444444"/>
              <w:left w:val="single" w:sz="4" w:space="0" w:color="444444"/>
              <w:bottom w:val="single" w:sz="4" w:space="0" w:color="auto"/>
              <w:right w:val="single" w:sz="4" w:space="0" w:color="444444"/>
            </w:tcBorders>
            <w:vAlign w:val="center"/>
          </w:tcPr>
          <w:p>
            <w:pPr>
              <w:widowControl/>
              <w:jc w:val="center"/>
              <w:textAlignment w:val="center"/>
              <w:rPr>
                <w:rFonts w:ascii="宋体" w:hAnsi="宋体" w:cs="宋体" w:hint="default"/>
                <w:b/>
                <w:bCs/>
                <w:color w:val="444444"/>
                <w:sz w:val="20"/>
                <w:lang w:bidi="ar"/>
              </w:rPr>
            </w:pPr>
            <w:r>
              <w:rPr>
                <w:rFonts w:ascii="宋体" w:hAnsi="宋体" w:cs="宋体"/>
                <w:b/>
                <w:bCs/>
                <w:color w:val="444444"/>
                <w:sz w:val="20"/>
                <w:lang w:bidi="ar"/>
              </w:rPr>
              <w:t>品名</w:t>
            </w:r>
          </w:p>
        </w:tc>
        <w:tc>
          <w:tcPr>
            <w:tcW w:w="697" w:type="dxa"/>
            <w:tcBorders>
              <w:top w:val="single" w:sz="4" w:space="0" w:color="444444"/>
              <w:left w:val="single" w:sz="4" w:space="0" w:color="444444"/>
              <w:bottom w:val="single" w:sz="4" w:space="0" w:color="auto"/>
              <w:right w:val="single" w:sz="4" w:space="0" w:color="444444"/>
            </w:tcBorders>
            <w:vAlign w:val="center"/>
          </w:tcPr>
          <w:p>
            <w:pPr>
              <w:widowControl/>
              <w:jc w:val="center"/>
              <w:textAlignment w:val="center"/>
              <w:rPr>
                <w:rFonts w:ascii="宋体" w:hAnsi="宋体" w:cs="宋体" w:hint="default"/>
                <w:b/>
                <w:bCs/>
                <w:color w:val="444444"/>
                <w:sz w:val="20"/>
                <w:lang w:bidi="ar"/>
              </w:rPr>
            </w:pPr>
            <w:r>
              <w:rPr>
                <w:rFonts w:ascii="宋体" w:hAnsi="宋体" w:cs="宋体"/>
                <w:b/>
                <w:bCs/>
                <w:color w:val="444444"/>
                <w:sz w:val="20"/>
                <w:lang w:bidi="ar"/>
              </w:rPr>
              <w:t>单位</w:t>
            </w:r>
          </w:p>
        </w:tc>
        <w:tc>
          <w:tcPr>
            <w:tcW w:w="938" w:type="dxa"/>
            <w:tcBorders>
              <w:top w:val="single" w:sz="4" w:space="0" w:color="444444"/>
              <w:left w:val="single" w:sz="4" w:space="0" w:color="444444"/>
              <w:bottom w:val="single" w:sz="4" w:space="0" w:color="auto"/>
              <w:right w:val="single" w:sz="4" w:space="0" w:color="444444"/>
            </w:tcBorders>
            <w:vAlign w:val="center"/>
          </w:tcPr>
          <w:p>
            <w:pPr>
              <w:widowControl/>
              <w:jc w:val="center"/>
              <w:textAlignment w:val="center"/>
              <w:rPr>
                <w:rFonts w:ascii="宋体" w:hAnsi="宋体" w:cs="宋体" w:hint="default"/>
                <w:b/>
                <w:bCs/>
                <w:color w:val="444444"/>
                <w:sz w:val="20"/>
                <w:lang w:bidi="ar"/>
              </w:rPr>
            </w:pPr>
            <w:r>
              <w:rPr>
                <w:rFonts w:ascii="宋体" w:hAnsi="宋体" w:cs="宋体"/>
                <w:b/>
                <w:bCs/>
                <w:color w:val="444444"/>
                <w:sz w:val="20"/>
                <w:lang w:bidi="ar"/>
              </w:rPr>
              <w:t>数量</w:t>
            </w:r>
          </w:p>
        </w:tc>
        <w:tc>
          <w:tcPr>
            <w:tcW w:w="4835" w:type="dxa"/>
            <w:tcBorders>
              <w:top w:val="single" w:sz="4" w:space="0" w:color="444444"/>
              <w:left w:val="single" w:sz="4" w:space="0" w:color="444444"/>
              <w:bottom w:val="single" w:sz="4" w:space="0" w:color="auto"/>
              <w:right w:val="single" w:sz="4" w:space="0" w:color="444444"/>
            </w:tcBorders>
            <w:vAlign w:val="center"/>
          </w:tcPr>
          <w:p>
            <w:pPr>
              <w:widowControl/>
              <w:jc w:val="center"/>
              <w:textAlignment w:val="center"/>
              <w:rPr>
                <w:rFonts w:ascii="宋体" w:hAnsi="宋体" w:cs="宋体" w:hint="default"/>
                <w:b/>
                <w:bCs/>
                <w:color w:val="444444"/>
                <w:sz w:val="20"/>
                <w:lang w:bidi="ar"/>
              </w:rPr>
            </w:pPr>
            <w:r>
              <w:rPr>
                <w:rFonts w:ascii="宋体" w:hAnsi="宋体" w:cs="宋体"/>
                <w:b/>
                <w:bCs/>
                <w:color w:val="444444"/>
                <w:sz w:val="20"/>
                <w:lang w:bidi="ar"/>
              </w:rPr>
              <w:t xml:space="preserve">一般规格、技术参数、性能要求 </w:t>
            </w:r>
          </w:p>
        </w:tc>
        <w:tc>
          <w:tcPr>
            <w:tcW w:w="1009" w:type="dxa"/>
            <w:tcBorders>
              <w:top w:val="single" w:sz="4" w:space="0" w:color="444444"/>
              <w:left w:val="single" w:sz="4" w:space="0" w:color="444444"/>
              <w:bottom w:val="single" w:sz="4" w:space="0" w:color="auto"/>
              <w:right w:val="single" w:sz="4" w:space="0" w:color="444444"/>
            </w:tcBorders>
            <w:vAlign w:val="center"/>
          </w:tcPr>
          <w:p>
            <w:pPr>
              <w:widowControl/>
              <w:jc w:val="center"/>
              <w:textAlignment w:val="center"/>
              <w:rPr>
                <w:rFonts w:ascii="宋体" w:hAnsi="宋体" w:cs="宋体" w:hint="default"/>
                <w:b/>
                <w:bCs/>
                <w:color w:val="444444"/>
                <w:sz w:val="20"/>
                <w:lang w:bidi="ar"/>
              </w:rPr>
            </w:pPr>
            <w:r>
              <w:rPr>
                <w:rFonts w:ascii="宋体" w:hAnsi="宋体" w:cs="宋体"/>
                <w:b/>
                <w:bCs/>
                <w:color w:val="444444"/>
                <w:sz w:val="20"/>
                <w:lang w:bidi="ar"/>
              </w:rPr>
              <w:t>交货地点</w:t>
            </w:r>
          </w:p>
        </w:tc>
      </w:tr>
      <w:tr>
        <w:tblPrEx>
          <w:tblW w:w="0" w:type="auto"/>
          <w:jc w:val="center"/>
          <w:tblLayout w:type="fixed"/>
          <w:tblCellMar>
            <w:top w:w="15" w:type="dxa"/>
            <w:left w:w="15" w:type="dxa"/>
            <w:bottom w:w="15" w:type="dxa"/>
            <w:right w:w="15" w:type="dxa"/>
          </w:tblCellMar>
        </w:tblPrEx>
        <w:trPr>
          <w:trHeight w:val="4088"/>
          <w:jc w:val="center"/>
        </w:trPr>
        <w:tc>
          <w:tcPr>
            <w:tcW w:w="649" w:type="dxa"/>
            <w:tcBorders>
              <w:top w:val="single" w:sz="4" w:space="0" w:color="auto"/>
              <w:left w:val="single" w:sz="4" w:space="0" w:color="auto"/>
              <w:bottom w:val="single" w:sz="4" w:space="0" w:color="auto"/>
              <w:right w:val="single" w:sz="4" w:space="0" w:color="auto"/>
            </w:tcBorders>
            <w:vAlign w:val="center"/>
          </w:tcPr>
          <w:p>
            <w:pPr>
              <w:widowControl/>
              <w:ind w:firstLine="200" w:firstLineChars="100"/>
              <w:textAlignment w:val="center"/>
              <w:rPr>
                <w:rFonts w:ascii="宋体" w:hAnsi="宋体" w:cs="宋体" w:hint="default"/>
                <w:b/>
                <w:bCs/>
                <w:color w:val="000000"/>
                <w:sz w:val="20"/>
                <w:szCs w:val="22"/>
                <w:lang w:bidi="ar"/>
              </w:rPr>
            </w:pPr>
            <w:r>
              <w:rPr>
                <w:rFonts w:ascii="宋体" w:hAnsi="宋体" w:cs="宋体"/>
                <w:b/>
                <w:bCs/>
                <w:color w:val="000000"/>
                <w:sz w:val="20"/>
                <w:szCs w:val="22"/>
                <w:lang w:bidi="ar"/>
              </w:rPr>
              <w:t>1</w:t>
            </w:r>
          </w:p>
        </w:tc>
        <w:tc>
          <w:tcPr>
            <w:tcW w:w="977"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default"/>
                <w:color w:val="000000"/>
                <w:sz w:val="20"/>
                <w:lang w:bidi="ar"/>
              </w:rPr>
            </w:pPr>
            <w:r>
              <w:rPr>
                <w:rFonts w:ascii="宋体" w:hAnsi="宋体" w:cs="宋体"/>
                <w:color w:val="000000"/>
                <w:sz w:val="20"/>
                <w:lang w:bidi="ar"/>
              </w:rPr>
              <w:t>巡护服</w:t>
            </w:r>
            <w:r>
              <w:rPr>
                <w:rStyle w:val="Strong"/>
                <w:rFonts w:ascii="宋体" w:hAnsi="宋体" w:cs="宋体"/>
                <w:b w:val="0"/>
                <w:color w:val="auto"/>
                <w:szCs w:val="24"/>
              </w:rPr>
              <w:t>★</w:t>
            </w:r>
          </w:p>
          <w:p>
            <w:pPr>
              <w:widowControl/>
              <w:spacing w:line="432" w:lineRule="exact"/>
              <w:jc w:val="center"/>
              <w:rPr>
                <w:rFonts w:ascii="宋体" w:hAnsi="宋体" w:cs="宋体" w:hint="default"/>
                <w:b/>
                <w:bCs/>
                <w:color w:val="FF0000"/>
                <w:sz w:val="20"/>
                <w:lang w:bidi="ar"/>
              </w:rPr>
            </w:pPr>
            <w:r>
              <w:rPr>
                <w:rFonts w:ascii="宋体" w:hAnsi="宋体" w:cs="宋体"/>
                <w:sz w:val="21"/>
                <w:szCs w:val="21"/>
              </w:rPr>
              <w:t xml:space="preserve"> </w:t>
            </w:r>
          </w:p>
        </w:tc>
        <w:tc>
          <w:tcPr>
            <w:tcW w:w="697" w:type="dxa"/>
            <w:tcBorders>
              <w:top w:val="single" w:sz="4" w:space="0" w:color="auto"/>
              <w:left w:val="single" w:sz="4" w:space="0" w:color="auto"/>
              <w:bottom w:val="single" w:sz="4" w:space="0" w:color="auto"/>
              <w:right w:val="single" w:sz="4" w:space="0" w:color="auto"/>
            </w:tcBorders>
            <w:vAlign w:val="center"/>
          </w:tcPr>
          <w:p>
            <w:pPr>
              <w:widowControl/>
              <w:spacing w:line="432" w:lineRule="exact"/>
              <w:jc w:val="center"/>
              <w:rPr>
                <w:rFonts w:ascii="宋体" w:hAnsi="宋体" w:cs="宋体" w:hint="default"/>
                <w:b/>
                <w:bCs/>
                <w:color w:val="FF0000"/>
                <w:sz w:val="20"/>
                <w:lang w:bidi="ar"/>
              </w:rPr>
            </w:pPr>
            <w:r>
              <w:rPr>
                <w:rFonts w:ascii="宋体" w:hAnsi="宋体" w:cs="宋体"/>
                <w:sz w:val="21"/>
                <w:szCs w:val="21"/>
              </w:rPr>
              <w:t xml:space="preserve">套 </w:t>
            </w:r>
          </w:p>
        </w:tc>
        <w:tc>
          <w:tcPr>
            <w:tcW w:w="938" w:type="dxa"/>
            <w:tcBorders>
              <w:top w:val="single" w:sz="4" w:space="0" w:color="auto"/>
              <w:left w:val="single" w:sz="4" w:space="0" w:color="auto"/>
              <w:bottom w:val="single" w:sz="4" w:space="0" w:color="auto"/>
              <w:right w:val="single" w:sz="4" w:space="0" w:color="auto"/>
            </w:tcBorders>
            <w:vAlign w:val="center"/>
          </w:tcPr>
          <w:p>
            <w:pPr>
              <w:widowControl/>
              <w:spacing w:line="432" w:lineRule="exact"/>
              <w:jc w:val="center"/>
              <w:rPr>
                <w:rFonts w:ascii="宋体" w:hAnsi="宋体" w:cs="宋体" w:hint="default"/>
                <w:b/>
                <w:bCs/>
                <w:color w:val="FF0000"/>
                <w:sz w:val="20"/>
                <w:lang w:bidi="ar"/>
              </w:rPr>
            </w:pPr>
            <w:r>
              <w:rPr>
                <w:rFonts w:ascii="宋体" w:hAnsi="宋体" w:cs="宋体"/>
                <w:sz w:val="21"/>
                <w:szCs w:val="21"/>
              </w:rPr>
              <w:t xml:space="preserve">9065.0 </w:t>
            </w:r>
          </w:p>
        </w:tc>
        <w:tc>
          <w:tcPr>
            <w:tcW w:w="483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default"/>
                <w:color w:val="000000"/>
                <w:sz w:val="20"/>
                <w:lang w:bidi="ar"/>
              </w:rPr>
            </w:pPr>
            <w:r>
              <w:rPr>
                <w:rFonts w:ascii="宋体" w:hAnsi="宋体" w:cs="宋体"/>
                <w:color w:val="000000"/>
                <w:sz w:val="20"/>
                <w:lang w:bidi="ar"/>
              </w:rPr>
              <w:t>巡护服包含衣服（可拆卸内胆）+裤子+帽子+胸臂章</w:t>
            </w:r>
          </w:p>
          <w:p>
            <w:pPr>
              <w:jc w:val="both"/>
              <w:rPr>
                <w:rFonts w:ascii="宋体" w:hAnsi="宋体" w:cs="宋体" w:hint="default"/>
                <w:color w:val="000000"/>
                <w:sz w:val="20"/>
                <w:lang w:bidi="ar"/>
              </w:rPr>
            </w:pPr>
            <w:r>
              <w:rPr>
                <w:rFonts w:ascii="宋体" w:hAnsi="宋体" w:cs="宋体"/>
                <w:color w:val="000000"/>
                <w:sz w:val="20"/>
                <w:lang w:bidi="ar"/>
              </w:rPr>
              <w:t>面料颜色：单色纯军绿格子</w:t>
            </w:r>
          </w:p>
          <w:p>
            <w:pPr>
              <w:jc w:val="both"/>
              <w:rPr>
                <w:rFonts w:ascii="宋体" w:hAnsi="宋体" w:cs="宋体" w:hint="default"/>
                <w:color w:val="000000"/>
                <w:sz w:val="20"/>
                <w:lang w:bidi="ar"/>
              </w:rPr>
            </w:pPr>
            <w:r>
              <w:rPr>
                <w:rFonts w:ascii="宋体" w:hAnsi="宋体" w:cs="宋体"/>
                <w:color w:val="000000"/>
                <w:sz w:val="20"/>
                <w:lang w:bidi="ar"/>
              </w:rPr>
              <w:t>纤维含量：</w:t>
            </w:r>
            <w:r>
              <w:rPr>
                <w:rFonts w:ascii="宋体" w:eastAsia="宋体" w:hAnsi="宋体" w:cs="宋体" w:hint="eastAsia"/>
                <w:i w:val="0"/>
                <w:color w:val="000000"/>
                <w:kern w:val="0"/>
                <w:sz w:val="20"/>
                <w:szCs w:val="20"/>
                <w:u w:val="none"/>
                <w:lang w:val="en-US" w:eastAsia="zh-CN" w:bidi="ar"/>
              </w:rPr>
              <w:t>31%棉、69%聚酯纤维</w:t>
            </w:r>
          </w:p>
          <w:p>
            <w:pPr>
              <w:jc w:val="both"/>
              <w:rPr>
                <w:rFonts w:ascii="宋体" w:hAnsi="宋体" w:cs="宋体" w:hint="default"/>
                <w:color w:val="000000"/>
                <w:sz w:val="20"/>
                <w:lang w:bidi="ar"/>
              </w:rPr>
            </w:pPr>
            <w:r>
              <w:rPr>
                <w:rFonts w:ascii="宋体" w:hAnsi="宋体" w:cs="宋体"/>
                <w:color w:val="000000"/>
                <w:sz w:val="20"/>
                <w:lang w:bidi="ar"/>
              </w:rPr>
              <w:t>克重：236g/m2</w:t>
            </w:r>
          </w:p>
          <w:p>
            <w:pPr>
              <w:jc w:val="both"/>
              <w:rPr>
                <w:rFonts w:ascii="宋体" w:hAnsi="宋体" w:cs="宋体" w:hint="default"/>
                <w:color w:val="000000"/>
                <w:sz w:val="20"/>
                <w:lang w:bidi="ar"/>
              </w:rPr>
            </w:pPr>
            <w:r>
              <w:rPr>
                <w:rFonts w:ascii="宋体" w:hAnsi="宋体" w:cs="宋体"/>
                <w:color w:val="000000"/>
                <w:sz w:val="20"/>
                <w:lang w:bidi="ar"/>
              </w:rPr>
              <w:t xml:space="preserve">密度：经向444、纬向201 </w:t>
            </w:r>
          </w:p>
          <w:p>
            <w:pPr>
              <w:jc w:val="both"/>
              <w:rPr>
                <w:rFonts w:ascii="宋体" w:hAnsi="宋体" w:cs="宋体" w:hint="default"/>
                <w:color w:val="000000"/>
                <w:sz w:val="20"/>
                <w:lang w:bidi="ar"/>
              </w:rPr>
            </w:pPr>
            <w:r>
              <w:rPr>
                <w:rFonts w:ascii="宋体" w:hAnsi="宋体" w:cs="宋体"/>
                <w:color w:val="000000"/>
                <w:sz w:val="20"/>
                <w:lang w:bidi="ar"/>
              </w:rPr>
              <w:t>撕破强力：经向：63N、纬向：38N</w:t>
            </w:r>
          </w:p>
          <w:p>
            <w:pPr>
              <w:jc w:val="both"/>
              <w:rPr>
                <w:rFonts w:ascii="宋体" w:hAnsi="宋体" w:cs="宋体" w:hint="default"/>
                <w:color w:val="000000"/>
                <w:sz w:val="20"/>
                <w:lang w:bidi="ar"/>
              </w:rPr>
            </w:pPr>
            <w:r>
              <w:rPr>
                <w:rFonts w:ascii="宋体" w:hAnsi="宋体" w:cs="宋体"/>
                <w:color w:val="000000"/>
                <w:sz w:val="20"/>
                <w:lang w:bidi="ar"/>
              </w:rPr>
              <w:t>断裂强力：经向：1400N 纬向：610N</w:t>
            </w:r>
          </w:p>
          <w:p>
            <w:pPr>
              <w:jc w:val="both"/>
              <w:rPr>
                <w:rFonts w:ascii="宋体" w:hAnsi="宋体" w:cs="宋体" w:hint="default"/>
                <w:color w:val="000000"/>
                <w:sz w:val="20"/>
                <w:lang w:bidi="ar"/>
              </w:rPr>
            </w:pPr>
            <w:r>
              <w:rPr>
                <w:rFonts w:ascii="宋体" w:hAnsi="宋体" w:cs="宋体"/>
                <w:color w:val="000000"/>
                <w:sz w:val="20"/>
                <w:lang w:bidi="ar"/>
              </w:rPr>
              <w:t>耐汗渍色牢度（级）</w:t>
            </w:r>
            <w:r>
              <w:rPr>
                <w:rFonts w:ascii="仿宋" w:eastAsia="仿宋" w:hAnsi="仿宋" w:cs="仿宋"/>
                <w:color w:val="000000"/>
                <w:sz w:val="20"/>
                <w:lang w:bidi="ar"/>
              </w:rPr>
              <w:t>≥</w:t>
            </w:r>
            <w:r>
              <w:rPr>
                <w:rFonts w:ascii="宋体" w:hAnsi="宋体" w:cs="宋体"/>
                <w:color w:val="000000"/>
                <w:sz w:val="20"/>
                <w:lang w:bidi="ar"/>
              </w:rPr>
              <w:t>3-4</w:t>
            </w:r>
          </w:p>
          <w:p>
            <w:pPr>
              <w:jc w:val="both"/>
              <w:rPr>
                <w:rFonts w:ascii="宋体" w:hAnsi="宋体" w:cs="宋体" w:hint="default"/>
                <w:color w:val="000000"/>
                <w:sz w:val="20"/>
                <w:lang w:bidi="ar"/>
              </w:rPr>
            </w:pPr>
            <w:r>
              <w:rPr>
                <w:rFonts w:ascii="宋体" w:hAnsi="宋体" w:cs="宋体"/>
                <w:color w:val="000000"/>
                <w:sz w:val="20"/>
                <w:lang w:bidi="ar"/>
              </w:rPr>
              <w:t>耐干摩擦色牢度（级）</w:t>
            </w:r>
            <w:r>
              <w:rPr>
                <w:rFonts w:ascii="仿宋" w:eastAsia="仿宋" w:hAnsi="仿宋" w:cs="仿宋"/>
                <w:color w:val="000000"/>
                <w:sz w:val="20"/>
                <w:lang w:bidi="ar"/>
              </w:rPr>
              <w:t>≥</w:t>
            </w:r>
            <w:r>
              <w:rPr>
                <w:rFonts w:ascii="宋体" w:hAnsi="宋体" w:cs="宋体"/>
                <w:color w:val="000000"/>
                <w:sz w:val="20"/>
                <w:lang w:bidi="ar"/>
              </w:rPr>
              <w:t>3</w:t>
            </w:r>
          </w:p>
          <w:p>
            <w:pPr>
              <w:jc w:val="both"/>
              <w:rPr>
                <w:rFonts w:ascii="宋体" w:hAnsi="宋体" w:cs="宋体" w:hint="default"/>
                <w:color w:val="000000"/>
                <w:sz w:val="20"/>
                <w:lang w:bidi="ar"/>
              </w:rPr>
            </w:pPr>
            <w:r>
              <w:rPr>
                <w:rFonts w:ascii="宋体" w:hAnsi="宋体" w:cs="宋体"/>
                <w:color w:val="000000"/>
                <w:sz w:val="20"/>
                <w:lang w:bidi="ar"/>
              </w:rPr>
              <w:t>耐湿摩擦色牢度（级）</w:t>
            </w:r>
            <w:r>
              <w:rPr>
                <w:rFonts w:ascii="仿宋" w:eastAsia="仿宋" w:hAnsi="仿宋" w:cs="仿宋"/>
                <w:color w:val="000000"/>
                <w:sz w:val="20"/>
                <w:lang w:bidi="ar"/>
              </w:rPr>
              <w:t>≥2-</w:t>
            </w:r>
            <w:r>
              <w:rPr>
                <w:rFonts w:ascii="宋体" w:hAnsi="宋体" w:cs="宋体"/>
                <w:color w:val="000000"/>
                <w:sz w:val="20"/>
                <w:lang w:bidi="ar"/>
              </w:rPr>
              <w:t>3</w:t>
            </w:r>
          </w:p>
          <w:p>
            <w:pPr>
              <w:jc w:val="both"/>
              <w:rPr>
                <w:rFonts w:ascii="宋体" w:hAnsi="宋体" w:cs="宋体" w:hint="default"/>
                <w:color w:val="000000"/>
                <w:sz w:val="20"/>
                <w:lang w:bidi="ar"/>
              </w:rPr>
            </w:pPr>
            <w:r>
              <w:rPr>
                <w:rFonts w:ascii="宋体" w:hAnsi="宋体" w:cs="宋体"/>
                <w:color w:val="000000"/>
                <w:sz w:val="20"/>
                <w:lang w:bidi="ar"/>
              </w:rPr>
              <w:t>耐洗色牢度（级）</w:t>
            </w:r>
            <w:r>
              <w:rPr>
                <w:rFonts w:ascii="仿宋" w:eastAsia="仿宋" w:hAnsi="仿宋" w:cs="仿宋"/>
                <w:color w:val="000000"/>
                <w:sz w:val="20"/>
                <w:lang w:bidi="ar"/>
              </w:rPr>
              <w:t>≥</w:t>
            </w:r>
            <w:r>
              <w:rPr>
                <w:rFonts w:ascii="宋体" w:hAnsi="宋体" w:cs="宋体"/>
                <w:color w:val="000000"/>
                <w:sz w:val="20"/>
                <w:lang w:bidi="ar"/>
              </w:rPr>
              <w:t>3-4</w:t>
            </w:r>
          </w:p>
          <w:p>
            <w:pPr>
              <w:jc w:val="both"/>
              <w:rPr>
                <w:rFonts w:ascii="宋体" w:hAnsi="宋体" w:cs="宋体"/>
                <w:b/>
                <w:bCs/>
                <w:color w:val="FF0000"/>
                <w:sz w:val="20"/>
                <w:szCs w:val="22"/>
                <w:lang w:bidi="ar"/>
              </w:rPr>
            </w:pPr>
            <w:r>
              <w:rPr>
                <w:rFonts w:ascii="宋体" w:hAnsi="宋体" w:cs="宋体"/>
                <w:color w:val="000000"/>
                <w:sz w:val="20"/>
                <w:lang w:bidi="ar"/>
              </w:rPr>
              <w:t>甲醛含量（mg/kg）</w:t>
            </w:r>
            <w:r>
              <w:rPr>
                <w:rFonts w:ascii="Arial" w:hAnsi="Arial" w:cs="Arial" w:hint="default"/>
                <w:color w:val="000000"/>
                <w:sz w:val="20"/>
                <w:lang w:bidi="ar"/>
              </w:rPr>
              <w:t>≤</w:t>
            </w:r>
            <w:r>
              <w:rPr>
                <w:rFonts w:ascii="Arial" w:hAnsi="Arial" w:cs="Arial"/>
                <w:color w:val="000000"/>
                <w:sz w:val="20"/>
                <w:lang w:bidi="ar"/>
              </w:rPr>
              <w:t>300</w:t>
            </w:r>
            <w:r>
              <w:rPr>
                <w:rFonts w:ascii="宋体" w:hAnsi="宋体" w:cs="宋体"/>
                <w:b/>
                <w:bCs/>
                <w:color w:val="FF0000"/>
                <w:sz w:val="20"/>
                <w:szCs w:val="22"/>
                <w:lang w:bidi="ar"/>
              </w:rPr>
              <w:t xml:space="preserve"> </w:t>
            </w:r>
          </w:p>
          <w:p>
            <w:pPr>
              <w:jc w:val="both"/>
              <w:rPr>
                <w:rFonts w:ascii="宋体" w:hAnsi="宋体" w:cs="宋体" w:hint="default"/>
                <w:b/>
                <w:bCs/>
                <w:color w:val="FF0000"/>
                <w:sz w:val="20"/>
                <w:lang w:bidi="ar"/>
              </w:rPr>
            </w:pPr>
            <w:r>
              <w:rPr>
                <w:rFonts w:ascii="宋体" w:hAnsi="宋体" w:cs="宋体"/>
                <w:b/>
                <w:bCs/>
                <w:color w:val="auto"/>
                <w:sz w:val="20"/>
                <w:szCs w:val="22"/>
                <w:lang w:bidi="ar"/>
              </w:rPr>
              <w:t xml:space="preserve">（提供近半年投标单位送检的省级或省级以上的检测报告）   </w:t>
            </w:r>
          </w:p>
        </w:tc>
        <w:tc>
          <w:tcPr>
            <w:tcW w:w="1009"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宋体" w:hint="default"/>
                <w:b/>
                <w:bCs/>
                <w:color w:val="FF0000"/>
                <w:sz w:val="20"/>
                <w:lang w:bidi="ar"/>
              </w:rPr>
            </w:pPr>
          </w:p>
        </w:tc>
      </w:tr>
      <w:tr>
        <w:tblPrEx>
          <w:tblW w:w="0" w:type="auto"/>
          <w:jc w:val="center"/>
          <w:tblLayout w:type="fixed"/>
          <w:tblCellMar>
            <w:top w:w="15" w:type="dxa"/>
            <w:left w:w="15" w:type="dxa"/>
            <w:bottom w:w="15" w:type="dxa"/>
            <w:right w:w="15" w:type="dxa"/>
          </w:tblCellMar>
        </w:tblPrEx>
        <w:trPr>
          <w:trHeight w:val="950"/>
          <w:jc w:val="center"/>
        </w:trPr>
        <w:tc>
          <w:tcPr>
            <w:tcW w:w="649" w:type="dxa"/>
            <w:tcBorders>
              <w:top w:val="single" w:sz="4" w:space="0" w:color="auto"/>
              <w:left w:val="single" w:sz="4" w:space="0" w:color="auto"/>
              <w:bottom w:val="single" w:sz="4" w:space="0" w:color="auto"/>
              <w:right w:val="single" w:sz="4" w:space="0" w:color="auto"/>
            </w:tcBorders>
            <w:vAlign w:val="center"/>
          </w:tcPr>
          <w:p>
            <w:pPr>
              <w:widowControl/>
              <w:ind w:firstLine="200" w:firstLineChars="100"/>
              <w:textAlignment w:val="center"/>
              <w:rPr>
                <w:rFonts w:ascii="宋体" w:hAnsi="宋体" w:cs="宋体" w:hint="default"/>
                <w:b/>
                <w:bCs/>
                <w:color w:val="000000"/>
                <w:sz w:val="20"/>
                <w:szCs w:val="22"/>
                <w:lang w:bidi="ar"/>
              </w:rPr>
            </w:pPr>
            <w:r>
              <w:rPr>
                <w:rFonts w:ascii="宋体" w:hAnsi="宋体" w:cs="宋体"/>
                <w:b/>
                <w:bCs/>
                <w:color w:val="000000"/>
                <w:sz w:val="20"/>
                <w:szCs w:val="22"/>
                <w:lang w:bidi="ar"/>
              </w:rPr>
              <w:t>2</w:t>
            </w:r>
          </w:p>
        </w:tc>
        <w:tc>
          <w:tcPr>
            <w:tcW w:w="97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宋体" w:hint="default"/>
                <w:b/>
                <w:bCs/>
                <w:color w:val="FF0000"/>
                <w:sz w:val="20"/>
                <w:szCs w:val="22"/>
                <w:lang w:bidi="ar"/>
              </w:rPr>
            </w:pPr>
            <w:r>
              <w:rPr>
                <w:rFonts w:ascii="宋体" w:hAnsi="宋体" w:cs="宋体"/>
                <w:sz w:val="21"/>
                <w:szCs w:val="21"/>
              </w:rPr>
              <w:t xml:space="preserve"> </w:t>
            </w:r>
            <w:r>
              <w:rPr>
                <w:rFonts w:ascii="宋体" w:hAnsi="宋体" w:cs="宋体"/>
                <w:color w:val="000000"/>
                <w:sz w:val="20"/>
                <w:lang w:bidi="ar"/>
              </w:rPr>
              <w:t>野外睡袋</w:t>
            </w:r>
          </w:p>
        </w:tc>
        <w:tc>
          <w:tcPr>
            <w:tcW w:w="697"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sz w:val="21"/>
                <w:szCs w:val="21"/>
              </w:rPr>
              <w:t xml:space="preserve"> 个</w:t>
            </w:r>
          </w:p>
        </w:tc>
        <w:tc>
          <w:tcPr>
            <w:tcW w:w="938"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sz w:val="21"/>
                <w:szCs w:val="21"/>
              </w:rPr>
              <w:t xml:space="preserve">   9065.0</w:t>
            </w:r>
          </w:p>
        </w:tc>
        <w:tc>
          <w:tcPr>
            <w:tcW w:w="4835" w:type="dxa"/>
            <w:tcBorders>
              <w:top w:val="single" w:sz="4" w:space="0" w:color="auto"/>
              <w:left w:val="single" w:sz="4" w:space="0" w:color="auto"/>
              <w:bottom w:val="single" w:sz="4" w:space="0" w:color="auto"/>
              <w:right w:val="single" w:sz="4" w:space="0" w:color="auto"/>
            </w:tcBorders>
            <w:vAlign w:val="center"/>
          </w:tcPr>
          <w:p>
            <w:pPr>
              <w:jc w:val="both"/>
              <w:rPr>
                <w:rFonts w:ascii="宋体" w:hAnsi="宋体" w:cs="宋体" w:hint="default"/>
                <w:color w:val="000000"/>
                <w:sz w:val="20"/>
                <w:lang w:bidi="ar"/>
              </w:rPr>
            </w:pPr>
            <w:r>
              <w:rPr>
                <w:rFonts w:ascii="宋体" w:hAnsi="宋体" w:cs="宋体"/>
                <w:color w:val="000000"/>
                <w:sz w:val="20"/>
                <w:lang w:bidi="ar"/>
              </w:rPr>
              <w:t>规格:200*80重量：1.8kg</w:t>
            </w:r>
            <w:r>
              <w:rPr>
                <w:rFonts w:ascii="宋体" w:hAnsi="宋体" w:cs="宋体"/>
                <w:color w:val="000000"/>
                <w:sz w:val="20"/>
                <w:lang w:bidi="ar"/>
              </w:rPr>
              <w:br/>
            </w:r>
            <w:r>
              <w:rPr>
                <w:rFonts w:ascii="宋体" w:hAnsi="宋体" w:cs="宋体"/>
                <w:color w:val="000000"/>
                <w:sz w:val="20"/>
                <w:lang w:bidi="ar"/>
              </w:rPr>
              <w:t>面料:190T防泼水涤纶布</w:t>
            </w:r>
            <w:r>
              <w:rPr>
                <w:rFonts w:ascii="宋体" w:hAnsi="宋体" w:cs="宋体"/>
                <w:color w:val="000000"/>
                <w:sz w:val="20"/>
                <w:lang w:bidi="ar"/>
              </w:rPr>
              <w:br/>
            </w:r>
            <w:r>
              <w:rPr>
                <w:rFonts w:ascii="宋体" w:hAnsi="宋体" w:cs="宋体"/>
                <w:color w:val="000000"/>
                <w:sz w:val="20"/>
                <w:lang w:bidi="ar"/>
              </w:rPr>
              <w:t>里料: 春亚纺</w:t>
            </w:r>
          </w:p>
          <w:p>
            <w:pPr>
              <w:jc w:val="both"/>
              <w:rPr>
                <w:rFonts w:ascii="宋体" w:hAnsi="宋体" w:cs="宋体" w:hint="default"/>
                <w:color w:val="000000"/>
                <w:sz w:val="20"/>
                <w:lang w:bidi="ar"/>
              </w:rPr>
            </w:pPr>
            <w:r>
              <w:rPr>
                <w:rFonts w:ascii="宋体" w:hAnsi="宋体" w:cs="宋体"/>
                <w:color w:val="000000"/>
                <w:sz w:val="20"/>
                <w:lang w:bidi="ar"/>
              </w:rPr>
              <w:t>填充:交织棉</w:t>
            </w:r>
          </w:p>
          <w:p>
            <w:pPr>
              <w:widowControl/>
              <w:textAlignment w:val="center"/>
              <w:rPr>
                <w:rFonts w:ascii="宋体" w:hAnsi="宋体" w:cs="宋体" w:hint="default"/>
                <w:sz w:val="21"/>
                <w:szCs w:val="21"/>
              </w:rPr>
            </w:pPr>
            <w:r>
              <w:rPr>
                <w:rFonts w:ascii="宋体" w:hAnsi="宋体" w:cs="宋体"/>
                <w:color w:val="000000"/>
                <w:sz w:val="20"/>
                <w:lang w:bidi="ar"/>
              </w:rPr>
              <w:t xml:space="preserve">舒适温度：0℃-15℃ </w:t>
            </w:r>
            <w:r>
              <w:rPr>
                <w:rFonts w:ascii="宋体" w:hAnsi="宋体" w:cs="宋体"/>
                <w:color w:val="000000"/>
                <w:sz w:val="20"/>
                <w:lang w:bidi="ar"/>
              </w:rPr>
              <w:br/>
            </w:r>
            <w:r>
              <w:rPr>
                <w:rFonts w:ascii="宋体" w:hAnsi="宋体" w:cs="宋体"/>
                <w:color w:val="000000"/>
                <w:sz w:val="20"/>
                <w:lang w:bidi="ar"/>
              </w:rPr>
              <w:t>极限温度:-10度</w:t>
            </w:r>
            <w:r>
              <w:rPr>
                <w:rFonts w:ascii="宋体" w:hAnsi="宋体" w:cs="宋体"/>
                <w:color w:val="000000"/>
                <w:sz w:val="20"/>
                <w:lang w:bidi="ar"/>
              </w:rPr>
              <w:br/>
            </w:r>
            <w:r>
              <w:rPr>
                <w:rFonts w:ascii="宋体" w:hAnsi="宋体" w:cs="宋体"/>
                <w:color w:val="000000"/>
                <w:sz w:val="20"/>
                <w:lang w:bidi="ar"/>
              </w:rPr>
              <w:t>外袋：211T牛津布压缩外包袋</w:t>
            </w:r>
          </w:p>
        </w:tc>
        <w:tc>
          <w:tcPr>
            <w:tcW w:w="100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default"/>
                <w:color w:val="FF0000"/>
                <w:sz w:val="20"/>
              </w:rPr>
            </w:pPr>
          </w:p>
        </w:tc>
      </w:tr>
      <w:tr>
        <w:tblPrEx>
          <w:tblW w:w="0" w:type="auto"/>
          <w:jc w:val="center"/>
          <w:tblLayout w:type="fixed"/>
          <w:tblCellMar>
            <w:top w:w="15" w:type="dxa"/>
            <w:left w:w="15" w:type="dxa"/>
            <w:bottom w:w="15" w:type="dxa"/>
            <w:right w:w="15" w:type="dxa"/>
          </w:tblCellMar>
        </w:tblPrEx>
        <w:trPr>
          <w:trHeight w:val="950"/>
          <w:jc w:val="center"/>
        </w:trPr>
        <w:tc>
          <w:tcPr>
            <w:tcW w:w="649" w:type="dxa"/>
            <w:tcBorders>
              <w:top w:val="single" w:sz="4" w:space="0" w:color="auto"/>
              <w:left w:val="single" w:sz="4" w:space="0" w:color="auto"/>
              <w:bottom w:val="single" w:sz="4" w:space="0" w:color="auto"/>
              <w:right w:val="single" w:sz="4" w:space="0" w:color="auto"/>
            </w:tcBorders>
            <w:vAlign w:val="center"/>
          </w:tcPr>
          <w:p>
            <w:pPr>
              <w:widowControl/>
              <w:ind w:firstLine="200" w:firstLineChars="100"/>
              <w:textAlignment w:val="center"/>
              <w:rPr>
                <w:rFonts w:ascii="宋体" w:hAnsi="宋体" w:cs="宋体" w:hint="default"/>
                <w:b/>
                <w:bCs/>
                <w:color w:val="000000"/>
                <w:sz w:val="20"/>
                <w:szCs w:val="22"/>
                <w:lang w:bidi="ar"/>
              </w:rPr>
            </w:pPr>
            <w:r>
              <w:rPr>
                <w:rFonts w:ascii="宋体" w:hAnsi="宋体" w:cs="宋体"/>
                <w:b/>
                <w:bCs/>
                <w:color w:val="000000"/>
                <w:sz w:val="20"/>
                <w:szCs w:val="22"/>
                <w:lang w:bidi="ar"/>
              </w:rPr>
              <w:t>3</w:t>
            </w:r>
          </w:p>
        </w:tc>
        <w:tc>
          <w:tcPr>
            <w:tcW w:w="97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宋体" w:hint="default"/>
                <w:b/>
                <w:bCs/>
                <w:color w:val="FF0000"/>
                <w:sz w:val="20"/>
                <w:lang w:bidi="ar"/>
              </w:rPr>
            </w:pPr>
            <w:r>
              <w:rPr>
                <w:rFonts w:ascii="宋体" w:hAnsi="宋体" w:cs="宋体"/>
                <w:color w:val="000000"/>
                <w:sz w:val="20"/>
                <w:lang w:bidi="ar"/>
              </w:rPr>
              <w:t>登山鞋</w:t>
            </w:r>
          </w:p>
        </w:tc>
        <w:tc>
          <w:tcPr>
            <w:tcW w:w="697"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sz w:val="21"/>
                <w:szCs w:val="21"/>
              </w:rPr>
              <w:t>双</w:t>
            </w:r>
          </w:p>
        </w:tc>
        <w:tc>
          <w:tcPr>
            <w:tcW w:w="938"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sz w:val="21"/>
                <w:szCs w:val="21"/>
              </w:rPr>
              <w:t>9065.0</w:t>
            </w:r>
          </w:p>
        </w:tc>
        <w:tc>
          <w:tcPr>
            <w:tcW w:w="483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default"/>
                <w:sz w:val="21"/>
                <w:szCs w:val="21"/>
              </w:rPr>
            </w:pPr>
            <w:r>
              <w:rPr>
                <w:rFonts w:ascii="宋体" w:hAnsi="宋体" w:cs="宋体"/>
                <w:sz w:val="21"/>
                <w:szCs w:val="21"/>
              </w:rPr>
              <w:t xml:space="preserve">   </w:t>
            </w:r>
            <w:r>
              <w:rPr>
                <w:rFonts w:ascii="宋体" w:hAnsi="宋体" w:cs="宋体"/>
                <w:sz w:val="21"/>
                <w:szCs w:val="21"/>
              </w:rPr>
              <w:br/>
            </w:r>
            <w:r>
              <w:rPr>
                <w:rFonts w:ascii="宋体" w:hAnsi="宋体" w:cs="宋体"/>
                <w:color w:val="000000"/>
                <w:sz w:val="20"/>
                <w:lang w:bidi="ar"/>
              </w:rPr>
              <w:t>热熔连帮注塑，永不开胶，永不断底。实心防滑耐磨大底，吸汗透气鞋垫。防穿刺。</w:t>
            </w:r>
          </w:p>
        </w:tc>
        <w:tc>
          <w:tcPr>
            <w:tcW w:w="100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default"/>
                <w:color w:val="FF0000"/>
                <w:sz w:val="20"/>
              </w:rPr>
            </w:pPr>
          </w:p>
        </w:tc>
      </w:tr>
      <w:tr>
        <w:tblPrEx>
          <w:tblW w:w="0" w:type="auto"/>
          <w:jc w:val="center"/>
          <w:tblLayout w:type="fixed"/>
          <w:tblCellMar>
            <w:top w:w="15" w:type="dxa"/>
            <w:left w:w="15" w:type="dxa"/>
            <w:bottom w:w="15" w:type="dxa"/>
            <w:right w:w="15" w:type="dxa"/>
          </w:tblCellMar>
        </w:tblPrEx>
        <w:trPr>
          <w:trHeight w:val="950"/>
          <w:jc w:val="center"/>
        </w:trPr>
        <w:tc>
          <w:tcPr>
            <w:tcW w:w="649" w:type="dxa"/>
            <w:tcBorders>
              <w:top w:val="single" w:sz="4" w:space="0" w:color="auto"/>
              <w:left w:val="single" w:sz="4" w:space="0" w:color="auto"/>
              <w:bottom w:val="single" w:sz="4" w:space="0" w:color="auto"/>
              <w:right w:val="single" w:sz="4" w:space="0" w:color="auto"/>
            </w:tcBorders>
            <w:vAlign w:val="center"/>
          </w:tcPr>
          <w:p>
            <w:pPr>
              <w:widowControl/>
              <w:ind w:firstLine="200" w:firstLineChars="100"/>
              <w:textAlignment w:val="center"/>
              <w:rPr>
                <w:rFonts w:ascii="宋体" w:hAnsi="宋体" w:cs="宋体" w:hint="default"/>
                <w:b/>
                <w:bCs/>
                <w:color w:val="000000"/>
                <w:sz w:val="20"/>
                <w:szCs w:val="22"/>
                <w:lang w:bidi="ar"/>
              </w:rPr>
            </w:pPr>
            <w:r>
              <w:rPr>
                <w:rFonts w:ascii="宋体" w:hAnsi="宋体" w:cs="宋体"/>
                <w:b/>
                <w:bCs/>
                <w:color w:val="000000"/>
                <w:sz w:val="20"/>
                <w:szCs w:val="22"/>
                <w:lang w:bidi="ar"/>
              </w:rPr>
              <w:t>4</w:t>
            </w:r>
          </w:p>
        </w:tc>
        <w:tc>
          <w:tcPr>
            <w:tcW w:w="97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宋体" w:hint="default"/>
                <w:b/>
                <w:bCs/>
                <w:color w:val="FF0000"/>
                <w:sz w:val="20"/>
                <w:lang w:bidi="ar"/>
              </w:rPr>
            </w:pPr>
            <w:r>
              <w:rPr>
                <w:rFonts w:ascii="宋体" w:hAnsi="宋体" w:cs="宋体"/>
                <w:color w:val="000000"/>
                <w:sz w:val="20"/>
                <w:lang w:bidi="ar"/>
              </w:rPr>
              <w:t>巡护登山包</w:t>
            </w:r>
          </w:p>
        </w:tc>
        <w:tc>
          <w:tcPr>
            <w:tcW w:w="697"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sz w:val="21"/>
                <w:szCs w:val="21"/>
              </w:rPr>
              <w:t>个</w:t>
            </w:r>
          </w:p>
        </w:tc>
        <w:tc>
          <w:tcPr>
            <w:tcW w:w="938"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sz w:val="21"/>
                <w:szCs w:val="21"/>
              </w:rPr>
              <w:t>9065.0</w:t>
            </w:r>
          </w:p>
        </w:tc>
        <w:tc>
          <w:tcPr>
            <w:tcW w:w="4835"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color w:val="000000"/>
                <w:sz w:val="20"/>
                <w:lang w:bidi="ar"/>
              </w:rPr>
              <w:t>1、规格：40升</w:t>
            </w:r>
            <w:r>
              <w:rPr>
                <w:rFonts w:ascii="宋体" w:hAnsi="宋体" w:cs="宋体"/>
                <w:color w:val="000000"/>
                <w:sz w:val="20"/>
                <w:lang w:bidi="ar"/>
              </w:rPr>
              <w:br/>
            </w:r>
            <w:r>
              <w:rPr>
                <w:rFonts w:ascii="宋体" w:hAnsi="宋体" w:cs="宋体"/>
                <w:color w:val="000000"/>
                <w:sz w:val="20"/>
                <w:lang w:bidi="ar"/>
              </w:rPr>
              <w:t>2、面料：斜纹沙卡面料</w:t>
            </w:r>
            <w:r>
              <w:rPr>
                <w:rFonts w:ascii="宋体" w:hAnsi="宋体" w:cs="宋体"/>
                <w:color w:val="000000"/>
                <w:sz w:val="20"/>
                <w:lang w:bidi="ar"/>
              </w:rPr>
              <w:br/>
            </w:r>
            <w:r>
              <w:rPr>
                <w:rFonts w:ascii="宋体" w:hAnsi="宋体" w:cs="宋体"/>
                <w:color w:val="000000"/>
                <w:sz w:val="20"/>
                <w:lang w:bidi="ar"/>
              </w:rPr>
              <w:t>3、里料防水橡胶层</w:t>
            </w:r>
          </w:p>
        </w:tc>
        <w:tc>
          <w:tcPr>
            <w:tcW w:w="100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default"/>
                <w:color w:val="FF0000"/>
                <w:sz w:val="20"/>
              </w:rPr>
            </w:pPr>
          </w:p>
        </w:tc>
      </w:tr>
      <w:tr>
        <w:tblPrEx>
          <w:tblW w:w="0" w:type="auto"/>
          <w:jc w:val="center"/>
          <w:tblLayout w:type="fixed"/>
          <w:tblCellMar>
            <w:top w:w="15" w:type="dxa"/>
            <w:left w:w="15" w:type="dxa"/>
            <w:bottom w:w="15" w:type="dxa"/>
            <w:right w:w="15" w:type="dxa"/>
          </w:tblCellMar>
        </w:tblPrEx>
        <w:trPr>
          <w:trHeight w:val="950"/>
          <w:jc w:val="center"/>
        </w:trPr>
        <w:tc>
          <w:tcPr>
            <w:tcW w:w="649" w:type="dxa"/>
            <w:tcBorders>
              <w:top w:val="single" w:sz="4" w:space="0" w:color="auto"/>
              <w:left w:val="single" w:sz="4" w:space="0" w:color="auto"/>
              <w:bottom w:val="single" w:sz="4" w:space="0" w:color="auto"/>
              <w:right w:val="single" w:sz="4" w:space="0" w:color="auto"/>
            </w:tcBorders>
            <w:vAlign w:val="center"/>
          </w:tcPr>
          <w:p>
            <w:pPr>
              <w:widowControl/>
              <w:ind w:firstLine="200" w:firstLineChars="100"/>
              <w:textAlignment w:val="center"/>
              <w:rPr>
                <w:rFonts w:ascii="宋体" w:hAnsi="宋体" w:cs="宋体" w:hint="default"/>
                <w:b/>
                <w:bCs/>
                <w:color w:val="000000"/>
                <w:sz w:val="20"/>
                <w:szCs w:val="22"/>
                <w:lang w:bidi="ar"/>
              </w:rPr>
            </w:pPr>
            <w:r>
              <w:rPr>
                <w:rFonts w:ascii="宋体" w:hAnsi="宋体" w:cs="宋体"/>
                <w:b/>
                <w:bCs/>
                <w:color w:val="000000"/>
                <w:sz w:val="20"/>
                <w:szCs w:val="22"/>
                <w:lang w:bidi="ar"/>
              </w:rPr>
              <w:t>5</w:t>
            </w:r>
          </w:p>
        </w:tc>
        <w:tc>
          <w:tcPr>
            <w:tcW w:w="97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宋体" w:hint="default"/>
                <w:b/>
                <w:bCs/>
                <w:color w:val="FF0000"/>
                <w:sz w:val="20"/>
                <w:lang w:bidi="ar"/>
              </w:rPr>
            </w:pPr>
            <w:r>
              <w:rPr>
                <w:rFonts w:ascii="宋体" w:hAnsi="宋体" w:cs="宋体"/>
                <w:color w:val="000000"/>
                <w:sz w:val="20"/>
                <w:lang w:bidi="ar"/>
              </w:rPr>
              <w:t>野外多功能水壶</w:t>
            </w:r>
          </w:p>
        </w:tc>
        <w:tc>
          <w:tcPr>
            <w:tcW w:w="697"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sz w:val="21"/>
                <w:szCs w:val="21"/>
              </w:rPr>
              <w:t>个</w:t>
            </w:r>
          </w:p>
        </w:tc>
        <w:tc>
          <w:tcPr>
            <w:tcW w:w="938"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sz w:val="21"/>
                <w:szCs w:val="21"/>
              </w:rPr>
              <w:t>9065.0</w:t>
            </w:r>
          </w:p>
        </w:tc>
        <w:tc>
          <w:tcPr>
            <w:tcW w:w="4835"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color w:val="000000"/>
                <w:sz w:val="20"/>
                <w:lang w:bidi="ar"/>
              </w:rPr>
              <w:t>野外训练巡护专用，多功能便携式套装水壶，容量1升，优质铝材质</w:t>
            </w:r>
          </w:p>
        </w:tc>
        <w:tc>
          <w:tcPr>
            <w:tcW w:w="100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default"/>
                <w:color w:val="FF0000"/>
                <w:sz w:val="20"/>
              </w:rPr>
            </w:pPr>
          </w:p>
        </w:tc>
      </w:tr>
      <w:tr>
        <w:tblPrEx>
          <w:tblW w:w="0" w:type="auto"/>
          <w:jc w:val="center"/>
          <w:tblLayout w:type="fixed"/>
          <w:tblCellMar>
            <w:top w:w="15" w:type="dxa"/>
            <w:left w:w="15" w:type="dxa"/>
            <w:bottom w:w="15" w:type="dxa"/>
            <w:right w:w="15" w:type="dxa"/>
          </w:tblCellMar>
        </w:tblPrEx>
        <w:trPr>
          <w:trHeight w:val="950"/>
          <w:jc w:val="center"/>
        </w:trPr>
        <w:tc>
          <w:tcPr>
            <w:tcW w:w="649" w:type="dxa"/>
            <w:tcBorders>
              <w:top w:val="single" w:sz="4" w:space="0" w:color="auto"/>
              <w:left w:val="single" w:sz="4" w:space="0" w:color="auto"/>
              <w:bottom w:val="single" w:sz="4" w:space="0" w:color="auto"/>
              <w:right w:val="single" w:sz="4" w:space="0" w:color="auto"/>
            </w:tcBorders>
            <w:vAlign w:val="center"/>
          </w:tcPr>
          <w:p>
            <w:pPr>
              <w:widowControl/>
              <w:ind w:firstLine="200" w:firstLineChars="100"/>
              <w:textAlignment w:val="center"/>
              <w:rPr>
                <w:rFonts w:ascii="宋体" w:hAnsi="宋体" w:cs="宋体" w:hint="default"/>
                <w:b/>
                <w:bCs/>
                <w:color w:val="000000"/>
                <w:sz w:val="20"/>
                <w:szCs w:val="22"/>
                <w:lang w:bidi="ar"/>
              </w:rPr>
            </w:pPr>
            <w:r>
              <w:rPr>
                <w:rFonts w:ascii="宋体" w:hAnsi="宋体" w:cs="宋体"/>
                <w:b/>
                <w:bCs/>
                <w:color w:val="000000"/>
                <w:sz w:val="20"/>
                <w:szCs w:val="22"/>
                <w:lang w:bidi="ar"/>
              </w:rPr>
              <w:t>6</w:t>
            </w:r>
          </w:p>
        </w:tc>
        <w:tc>
          <w:tcPr>
            <w:tcW w:w="97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宋体" w:hint="default"/>
                <w:b/>
                <w:bCs/>
                <w:color w:val="FF0000"/>
                <w:sz w:val="20"/>
                <w:lang w:bidi="ar"/>
              </w:rPr>
            </w:pPr>
            <w:r>
              <w:rPr>
                <w:rFonts w:ascii="宋体" w:hAnsi="宋体" w:cs="宋体"/>
                <w:sz w:val="20"/>
                <w:lang w:bidi="ar"/>
              </w:rPr>
              <w:t>手电筒</w:t>
            </w:r>
          </w:p>
        </w:tc>
        <w:tc>
          <w:tcPr>
            <w:tcW w:w="697"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sz w:val="21"/>
                <w:szCs w:val="21"/>
              </w:rPr>
              <w:t>个</w:t>
            </w:r>
          </w:p>
        </w:tc>
        <w:tc>
          <w:tcPr>
            <w:tcW w:w="938" w:type="dxa"/>
            <w:tcBorders>
              <w:top w:val="single" w:sz="4" w:space="0" w:color="auto"/>
              <w:left w:val="single" w:sz="4" w:space="0" w:color="auto"/>
              <w:bottom w:val="single" w:sz="4" w:space="0" w:color="auto"/>
              <w:right w:val="single" w:sz="4" w:space="0" w:color="auto"/>
            </w:tcBorders>
            <w:vAlign w:val="center"/>
          </w:tcPr>
          <w:p>
            <w:pPr>
              <w:widowControl/>
              <w:textAlignment w:val="center"/>
              <w:rPr>
                <w:rFonts w:ascii="宋体" w:hAnsi="宋体" w:cs="宋体" w:hint="default"/>
                <w:sz w:val="21"/>
                <w:szCs w:val="21"/>
              </w:rPr>
            </w:pPr>
            <w:r>
              <w:rPr>
                <w:rFonts w:ascii="宋体" w:hAnsi="宋体" w:cs="宋体"/>
                <w:sz w:val="21"/>
                <w:szCs w:val="21"/>
              </w:rPr>
              <w:t>9065.0</w:t>
            </w:r>
          </w:p>
        </w:tc>
        <w:tc>
          <w:tcPr>
            <w:tcW w:w="483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default"/>
                <w:sz w:val="21"/>
                <w:szCs w:val="21"/>
              </w:rPr>
            </w:pPr>
            <w:r>
              <w:rPr>
                <w:rFonts w:ascii="宋体" w:hAnsi="宋体" w:cs="宋体"/>
                <w:color w:val="000000"/>
                <w:sz w:val="20"/>
                <w:lang w:bidi="ar"/>
              </w:rPr>
              <w:t>材 质：航空级铝合金·外 观：精密CNC加工，加厚阳极氧化处理，哑黑色， 寸：全长151mm，筒身直径26mm，筒头直径34mm·头部旋转调解变焦调光，电 池：18650高容量可充电锂离子电池，重复充电1000次，电池可持续照明360分钟以上，灯光分高光输出、弱光输出、闪烁示警三挡功能。功能及优点：前端直接充电,配车载充电器，插头充电、防水、防震、抗压。</w:t>
            </w:r>
          </w:p>
        </w:tc>
        <w:tc>
          <w:tcPr>
            <w:tcW w:w="100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default"/>
                <w:color w:val="FF0000"/>
                <w:sz w:val="20"/>
              </w:rPr>
            </w:pPr>
          </w:p>
        </w:tc>
      </w:tr>
    </w:tbl>
    <w:p>
      <w:pPr>
        <w:pStyle w:val="Heading1"/>
        <w:jc w:val="center"/>
        <w:rPr>
          <w:rFonts w:ascii="宋体" w:eastAsia="宋体" w:hAnsi="宋体" w:hint="default"/>
          <w:bCs/>
          <w:sz w:val="36"/>
        </w:rPr>
      </w:pPr>
    </w:p>
    <w:p>
      <w:pPr>
        <w:widowControl/>
        <w:spacing w:line="360" w:lineRule="auto"/>
        <w:ind w:firstLine="480" w:firstLineChars="200"/>
        <w:rPr>
          <w:rFonts w:hAnsi="宋体" w:cs="宋体" w:hint="default"/>
          <w:b/>
          <w:szCs w:val="21"/>
        </w:rPr>
      </w:pPr>
      <w:r>
        <w:rPr>
          <w:rFonts w:hAnsi="宋体" w:cs="宋体"/>
          <w:b/>
          <w:szCs w:val="21"/>
        </w:rPr>
        <w:t>备注：1、请各供应商严格按第四章“分项报价表”格式对以上各项目进行分项报价，交货及安装完成后，若最终交货及安装数量有增减时，增减部分按照所报单价进行结算。</w:t>
      </w:r>
    </w:p>
    <w:p>
      <w:pPr>
        <w:widowControl/>
        <w:numPr>
          <w:ilvl w:val="0"/>
          <w:numId w:val="5"/>
        </w:numPr>
        <w:spacing w:line="360" w:lineRule="auto"/>
        <w:rPr>
          <w:rFonts w:hAnsi="宋体" w:cs="宋体"/>
          <w:b/>
          <w:szCs w:val="21"/>
        </w:rPr>
      </w:pPr>
      <w:r>
        <w:rPr>
          <w:rFonts w:hAnsi="宋体" w:cs="宋体"/>
          <w:b/>
          <w:szCs w:val="21"/>
        </w:rPr>
        <w:t>采购人不承担因尺寸及规格误差所产生的一切费用及风险。成交后所投产品颜色以采购人最终确定为准。</w:t>
      </w:r>
    </w:p>
    <w:p>
      <w:pPr>
        <w:pStyle w:val="BodyText"/>
        <w:ind w:left="0"/>
        <w:rPr>
          <w:rFonts w:hint="default"/>
          <w:b/>
          <w:color w:val="auto"/>
        </w:rPr>
      </w:pPr>
      <w:r>
        <w:t>3、</w:t>
      </w:r>
      <w:r>
        <w:rPr>
          <w:rFonts w:cs="宋体"/>
          <w:b/>
          <w:color w:val="auto"/>
          <w:szCs w:val="24"/>
        </w:rPr>
        <w:t>技术和服务要求</w:t>
      </w:r>
      <w:r>
        <w:rPr>
          <w:rStyle w:val="Strong"/>
          <w:rFonts w:cs="宋体"/>
          <w:b w:val="0"/>
          <w:color w:val="auto"/>
          <w:szCs w:val="24"/>
        </w:rPr>
        <w:t>（以“★”标示的内容为不允许负偏离的实质性要求）</w:t>
      </w:r>
    </w:p>
    <w:p>
      <w:pPr>
        <w:widowControl/>
        <w:spacing w:line="360" w:lineRule="auto"/>
        <w:ind w:firstLine="480" w:firstLineChars="200"/>
        <w:rPr>
          <w:rFonts w:hAnsi="宋体" w:cs="宋体" w:hint="default"/>
          <w:b/>
          <w:color w:val="000000"/>
          <w:szCs w:val="21"/>
        </w:rPr>
      </w:pPr>
      <w:r>
        <w:rPr>
          <w:rFonts w:hAnsi="宋体" w:cs="宋体"/>
          <w:b/>
          <w:color w:val="000000"/>
          <w:szCs w:val="21"/>
        </w:rPr>
        <w:t>二、样品提交</w:t>
      </w:r>
    </w:p>
    <w:p>
      <w:pPr>
        <w:widowControl/>
        <w:spacing w:line="360" w:lineRule="auto"/>
        <w:ind w:firstLine="480" w:firstLineChars="200"/>
        <w:rPr>
          <w:rFonts w:hAnsi="宋体" w:cs="宋体" w:hint="default"/>
          <w:color w:val="000000"/>
          <w:szCs w:val="21"/>
        </w:rPr>
      </w:pPr>
      <w:r>
        <w:rPr>
          <w:rFonts w:hAnsi="宋体" w:cs="宋体"/>
          <w:color w:val="000000"/>
          <w:szCs w:val="21"/>
        </w:rPr>
        <w:t>1、供应商人须提供样品一套（包含布料及相关辅材）：</w:t>
      </w:r>
    </w:p>
    <w:p>
      <w:pPr>
        <w:widowControl/>
        <w:spacing w:line="360" w:lineRule="auto"/>
        <w:ind w:firstLine="480" w:firstLineChars="200"/>
        <w:rPr>
          <w:rFonts w:hAnsi="宋体" w:cs="宋体" w:hint="default"/>
          <w:color w:val="000000"/>
          <w:szCs w:val="21"/>
        </w:rPr>
      </w:pPr>
      <w:r>
        <w:rPr>
          <w:rFonts w:hAnsi="宋体" w:cs="宋体"/>
          <w:color w:val="000000"/>
          <w:szCs w:val="21"/>
        </w:rPr>
        <w:t>2、样品制作的标准和要求：完全符合第五需求中的产品描述。</w:t>
      </w:r>
    </w:p>
    <w:p>
      <w:pPr>
        <w:widowControl/>
        <w:spacing w:line="360" w:lineRule="auto"/>
        <w:ind w:firstLine="480" w:firstLineChars="200"/>
        <w:rPr>
          <w:rFonts w:hAnsi="宋体" w:cs="宋体" w:hint="default"/>
          <w:color w:val="000000"/>
          <w:szCs w:val="21"/>
        </w:rPr>
      </w:pPr>
      <w:r>
        <w:rPr>
          <w:rFonts w:hAnsi="宋体" w:cs="宋体"/>
          <w:color w:val="000000"/>
          <w:szCs w:val="21"/>
        </w:rPr>
        <w:t>3、样品需密封完好，封袋上标明样品产品名称、尺寸（样品和样品袋上不能有供应商的名称及其它相关信息）。样品同响应文件一并递交。</w:t>
      </w:r>
    </w:p>
    <w:p>
      <w:pPr>
        <w:widowControl/>
        <w:spacing w:line="360" w:lineRule="auto"/>
        <w:ind w:firstLine="480" w:firstLineChars="200"/>
        <w:rPr>
          <w:rFonts w:hAnsi="宋体" w:cs="宋体" w:hint="default"/>
          <w:color w:val="000000"/>
          <w:szCs w:val="21"/>
        </w:rPr>
      </w:pPr>
      <w:r>
        <w:rPr>
          <w:rFonts w:hAnsi="宋体" w:cs="宋体"/>
          <w:color w:val="000000"/>
          <w:szCs w:val="21"/>
        </w:rPr>
        <w:t>4、样品的递交截止时间地点：同《响应文件》递交截止时间、地点相同，逾期送达或未按要求送达指定地点的将被拒收。</w:t>
      </w:r>
    </w:p>
    <w:p>
      <w:pPr>
        <w:widowControl/>
        <w:spacing w:line="360" w:lineRule="auto"/>
        <w:ind w:firstLine="480" w:firstLineChars="200"/>
        <w:rPr>
          <w:rFonts w:hAnsi="宋体" w:cs="宋体" w:hint="default"/>
          <w:color w:val="000000"/>
          <w:szCs w:val="21"/>
        </w:rPr>
      </w:pPr>
      <w:r>
        <w:rPr>
          <w:rFonts w:hAnsi="宋体" w:cs="宋体"/>
          <w:color w:val="000000"/>
          <w:szCs w:val="21"/>
        </w:rPr>
        <w:t>5、在评审过程中可能对样品产生的损坏，采购人及采购代理机构不负责赔偿，由此产生的风险由投标人承担。</w:t>
      </w:r>
    </w:p>
    <w:p>
      <w:pPr>
        <w:widowControl/>
        <w:spacing w:line="360" w:lineRule="auto"/>
        <w:ind w:firstLine="480" w:firstLineChars="200"/>
        <w:rPr>
          <w:rFonts w:hAnsi="宋体" w:cs="宋体" w:hint="default"/>
          <w:color w:val="000000"/>
          <w:szCs w:val="21"/>
        </w:rPr>
      </w:pPr>
      <w:r>
        <w:rPr>
          <w:rFonts w:hAnsi="宋体" w:cs="宋体"/>
          <w:color w:val="000000"/>
          <w:szCs w:val="21"/>
        </w:rPr>
        <w:t>6、非成交人递交的实物样品及材质小样将在成交公告公示期结束后7个工作日内退回，当供应商接到采购人或采购代理机构退还样品的通知后，请及时办理相关退还手续，因供应商自身原因导致不能及时办理退还手续的，采购人、采购代理机构将不负责样品的保管，由此造成的损失由供应商自行承担。中标人递交的实物样品及材质小样将被采购人封存，作为验收及合同履约的依据。</w:t>
      </w:r>
    </w:p>
    <w:p>
      <w:pPr>
        <w:widowControl/>
        <w:spacing w:line="360" w:lineRule="auto"/>
        <w:ind w:firstLine="480" w:firstLineChars="200"/>
        <w:rPr>
          <w:rFonts w:hAnsi="宋体" w:cs="宋体" w:hint="default"/>
          <w:b/>
          <w:szCs w:val="21"/>
        </w:rPr>
      </w:pPr>
      <w:r>
        <w:rPr>
          <w:rFonts w:hAnsi="宋体" w:cs="宋体"/>
          <w:b/>
          <w:szCs w:val="21"/>
        </w:rPr>
        <w:t>二、其他服务</w:t>
      </w:r>
    </w:p>
    <w:p>
      <w:pPr>
        <w:snapToGrid w:val="0"/>
        <w:spacing w:line="360" w:lineRule="auto"/>
        <w:ind w:firstLine="240" w:firstLineChars="100"/>
        <w:rPr>
          <w:rFonts w:hAnsi="宋体" w:cs="宋体" w:hint="default"/>
          <w:color w:val="000000"/>
          <w:szCs w:val="21"/>
        </w:rPr>
      </w:pPr>
      <w:r>
        <w:rPr>
          <w:rFonts w:hAnsi="宋体" w:cs="宋体"/>
          <w:color w:val="000000"/>
          <w:szCs w:val="21"/>
        </w:rPr>
        <w:t xml:space="preserve"> (1)乙方应提供有效的售后联系人和联系电话，如有变更，乙方应及时、主动通知甲方。</w:t>
      </w:r>
    </w:p>
    <w:p>
      <w:pPr>
        <w:snapToGrid w:val="0"/>
        <w:spacing w:line="360" w:lineRule="auto"/>
        <w:ind w:firstLine="240" w:firstLineChars="100"/>
        <w:rPr>
          <w:rFonts w:hAnsi="宋体" w:cs="宋体" w:hint="default"/>
          <w:color w:val="000000"/>
          <w:szCs w:val="21"/>
        </w:rPr>
      </w:pPr>
      <w:r>
        <w:rPr>
          <w:rFonts w:hAnsi="宋体" w:cs="宋体"/>
          <w:color w:val="000000"/>
          <w:szCs w:val="21"/>
        </w:rPr>
        <w:t>（2）须指定固定联系人及联系电话。</w:t>
      </w:r>
    </w:p>
    <w:p>
      <w:pPr>
        <w:pStyle w:val="Heading1"/>
        <w:rPr>
          <w:rFonts w:ascii="宋体" w:eastAsia="宋体" w:hAnsi="宋体" w:hint="default"/>
          <w:bCs/>
          <w:sz w:val="36"/>
        </w:rPr>
      </w:pPr>
    </w:p>
    <w:p>
      <w:pPr>
        <w:pStyle w:val="Heading1"/>
        <w:jc w:val="center"/>
        <w:rPr>
          <w:rFonts w:ascii="宋体" w:eastAsia="宋体" w:hAnsi="宋体" w:hint="default"/>
          <w:bCs/>
          <w:sz w:val="36"/>
        </w:rPr>
      </w:pPr>
    </w:p>
    <w:p>
      <w:pPr>
        <w:pStyle w:val="Heading1"/>
        <w:jc w:val="center"/>
        <w:rPr>
          <w:rFonts w:ascii="宋体" w:eastAsia="宋体" w:hAnsi="宋体" w:hint="default"/>
          <w:bCs/>
          <w:sz w:val="36"/>
        </w:rPr>
      </w:pPr>
    </w:p>
    <w:p>
      <w:pPr>
        <w:pStyle w:val="Heading1"/>
        <w:jc w:val="center"/>
        <w:rPr>
          <w:rFonts w:ascii="宋体" w:eastAsia="宋体" w:hAnsi="宋体" w:hint="default"/>
          <w:bCs/>
          <w:sz w:val="36"/>
        </w:rPr>
      </w:pPr>
    </w:p>
    <w:p>
      <w:pPr>
        <w:rPr>
          <w:rFonts w:ascii="宋体" w:hAnsi="宋体" w:hint="default"/>
          <w:bCs/>
          <w:sz w:val="36"/>
        </w:rPr>
      </w:pPr>
    </w:p>
    <w:p>
      <w:pPr>
        <w:pStyle w:val="BodyText"/>
        <w:rPr>
          <w:rFonts w:hint="default"/>
          <w:bCs/>
          <w:sz w:val="36"/>
        </w:rPr>
      </w:pPr>
    </w:p>
    <w:p>
      <w:pPr>
        <w:pStyle w:val="a"/>
        <w:rPr>
          <w:rFonts w:hint="default"/>
        </w:rPr>
      </w:pPr>
    </w:p>
    <w:p>
      <w:pPr>
        <w:rPr>
          <w:rFonts w:hint="default"/>
        </w:rPr>
      </w:pPr>
    </w:p>
    <w:p>
      <w:pPr>
        <w:pStyle w:val="BodyText"/>
        <w:rPr>
          <w:rFonts w:hint="default"/>
        </w:rPr>
      </w:pPr>
    </w:p>
    <w:p>
      <w:pPr>
        <w:pStyle w:val="a"/>
        <w:rPr>
          <w:rFonts w:hint="default"/>
        </w:rPr>
      </w:pPr>
    </w:p>
    <w:p>
      <w:pPr>
        <w:rPr>
          <w:rFonts w:hint="default"/>
        </w:rPr>
      </w:pPr>
    </w:p>
    <w:p>
      <w:pPr>
        <w:pStyle w:val="BodyText"/>
        <w:rPr>
          <w:rFonts w:hint="default"/>
        </w:rPr>
      </w:pPr>
    </w:p>
    <w:p>
      <w:pPr>
        <w:pStyle w:val="a"/>
        <w:rPr>
          <w:rFonts w:hint="default"/>
        </w:rPr>
      </w:pPr>
    </w:p>
    <w:p>
      <w:pPr>
        <w:pStyle w:val="Heading1"/>
        <w:jc w:val="center"/>
        <w:rPr>
          <w:rFonts w:ascii="宋体" w:eastAsia="宋体" w:hAnsi="宋体" w:hint="default"/>
          <w:bCs/>
          <w:sz w:val="36"/>
        </w:rPr>
      </w:pPr>
      <w:r>
        <w:rPr>
          <w:rFonts w:ascii="宋体" w:eastAsia="宋体" w:hAnsi="宋体"/>
          <w:bCs/>
          <w:sz w:val="36"/>
        </w:rPr>
        <w:t>第六章  评标办法</w:t>
      </w:r>
    </w:p>
    <w:p>
      <w:pPr>
        <w:pStyle w:val="Heading2"/>
        <w:numPr>
          <w:ilvl w:val="0"/>
          <w:numId w:val="0"/>
        </w:numPr>
        <w:tabs>
          <w:tab w:val="left" w:pos="1021"/>
        </w:tabs>
        <w:spacing w:line="240" w:lineRule="auto"/>
        <w:jc w:val="center"/>
        <w:rPr>
          <w:rFonts w:hint="default"/>
          <w:bCs/>
        </w:rPr>
      </w:pPr>
      <w:bookmarkStart w:id="32" w:name="_Toc396093005"/>
      <w:bookmarkStart w:id="33" w:name="_Toc326218110"/>
      <w:r>
        <w:rPr>
          <w:rFonts w:ascii="宋体" w:eastAsia="宋体" w:hAnsi="宋体"/>
          <w:bCs/>
        </w:rPr>
        <w:t>评标办法前附表</w:t>
      </w:r>
      <w:bookmarkEnd w:id="32"/>
      <w:bookmarkEnd w:id="33"/>
    </w:p>
    <w:tbl>
      <w:tblPr>
        <w:tblStyle w:val="TableNormal"/>
        <w:tblW w:w="10018" w:type="dxa"/>
        <w:tblInd w:w="213" w:type="dxa"/>
        <w:tblLayout w:type="fixed"/>
        <w:tblCellMar>
          <w:top w:w="0" w:type="dxa"/>
          <w:left w:w="108" w:type="dxa"/>
          <w:bottom w:w="0" w:type="dxa"/>
          <w:right w:w="108" w:type="dxa"/>
        </w:tblCellMar>
      </w:tblPr>
      <w:tblGrid>
        <w:gridCol w:w="598"/>
        <w:gridCol w:w="525"/>
        <w:gridCol w:w="1995"/>
        <w:gridCol w:w="6900"/>
      </w:tblGrid>
      <w:tr>
        <w:tblPrEx>
          <w:tblW w:w="10018" w:type="dxa"/>
          <w:tblInd w:w="213" w:type="dxa"/>
          <w:tblLayout w:type="fixed"/>
          <w:tblCellMar>
            <w:top w:w="0" w:type="dxa"/>
            <w:left w:w="108" w:type="dxa"/>
            <w:bottom w:w="0" w:type="dxa"/>
            <w:right w:w="108" w:type="dxa"/>
          </w:tblCellMar>
        </w:tblPrEx>
        <w:trPr>
          <w:trHeight w:hRule="exact" w:val="454"/>
        </w:trPr>
        <w:tc>
          <w:tcPr>
            <w:tcW w:w="1123" w:type="dxa"/>
            <w:gridSpan w:val="2"/>
            <w:tcBorders>
              <w:top w:val="single" w:sz="6" w:space="0" w:color="000000"/>
              <w:left w:val="single" w:sz="6" w:space="0" w:color="000000"/>
              <w:bottom w:val="single" w:sz="6" w:space="0" w:color="000000"/>
              <w:right w:val="single" w:sz="6" w:space="0" w:color="000000"/>
            </w:tcBorders>
            <w:shd w:val="clear" w:color="auto" w:fill="D9D9D9"/>
          </w:tcPr>
          <w:p>
            <w:pPr>
              <w:pStyle w:val="TableParagraph"/>
              <w:kinsoku w:val="0"/>
              <w:overflowPunct w:val="0"/>
              <w:spacing w:before="75"/>
              <w:rPr>
                <w:rFonts w:eastAsia="Times New Roman" w:hint="default"/>
              </w:rPr>
            </w:pPr>
            <w:r>
              <w:rPr>
                <w:rFonts w:ascii="宋体" w:hAnsi="宋体"/>
                <w:b/>
              </w:rPr>
              <w:t>条款号</w:t>
            </w:r>
          </w:p>
        </w:tc>
        <w:tc>
          <w:tcPr>
            <w:tcW w:w="1995" w:type="dxa"/>
            <w:tcBorders>
              <w:top w:val="single" w:sz="6" w:space="0" w:color="000000"/>
              <w:left w:val="single" w:sz="6" w:space="0" w:color="000000"/>
              <w:bottom w:val="single" w:sz="6" w:space="0" w:color="000000"/>
              <w:right w:val="single" w:sz="6" w:space="0" w:color="000000"/>
            </w:tcBorders>
            <w:shd w:val="clear" w:color="auto" w:fill="D9D9D9"/>
          </w:tcPr>
          <w:p>
            <w:pPr>
              <w:pStyle w:val="TableParagraph"/>
              <w:kinsoku w:val="0"/>
              <w:overflowPunct w:val="0"/>
              <w:spacing w:before="75"/>
              <w:ind w:left="543"/>
              <w:rPr>
                <w:rFonts w:eastAsia="Times New Roman" w:hint="default"/>
              </w:rPr>
            </w:pPr>
            <w:r>
              <w:rPr>
                <w:rFonts w:ascii="宋体" w:hAnsi="宋体"/>
                <w:b/>
                <w:spacing w:val="2"/>
              </w:rPr>
              <w:t>评</w:t>
            </w:r>
            <w:r>
              <w:rPr>
                <w:rFonts w:ascii="宋体" w:hAnsi="宋体"/>
                <w:b/>
              </w:rPr>
              <w:t>审</w:t>
            </w:r>
            <w:r>
              <w:rPr>
                <w:rFonts w:ascii="宋体" w:hAnsi="宋体"/>
                <w:b/>
                <w:spacing w:val="2"/>
              </w:rPr>
              <w:t>因</w:t>
            </w:r>
            <w:r>
              <w:rPr>
                <w:rFonts w:ascii="宋体" w:hAnsi="宋体"/>
                <w:b/>
              </w:rPr>
              <w:t>素</w:t>
            </w:r>
          </w:p>
        </w:tc>
        <w:tc>
          <w:tcPr>
            <w:tcW w:w="6900" w:type="dxa"/>
            <w:tcBorders>
              <w:top w:val="single" w:sz="6" w:space="0" w:color="000000"/>
              <w:left w:val="single" w:sz="6" w:space="0" w:color="000000"/>
              <w:bottom w:val="single" w:sz="6" w:space="0" w:color="000000"/>
              <w:right w:val="single" w:sz="6" w:space="0" w:color="000000"/>
            </w:tcBorders>
            <w:shd w:val="clear" w:color="auto" w:fill="D9D9D9"/>
          </w:tcPr>
          <w:p>
            <w:pPr>
              <w:pStyle w:val="TableParagraph"/>
              <w:kinsoku w:val="0"/>
              <w:overflowPunct w:val="0"/>
              <w:spacing w:before="75"/>
              <w:ind w:left="2291" w:right="2291"/>
              <w:jc w:val="center"/>
              <w:rPr>
                <w:rFonts w:eastAsia="Times New Roman" w:hint="default"/>
              </w:rPr>
            </w:pPr>
            <w:r>
              <w:rPr>
                <w:rFonts w:ascii="宋体" w:hAnsi="宋体"/>
                <w:b/>
                <w:spacing w:val="2"/>
              </w:rPr>
              <w:t>评</w:t>
            </w:r>
            <w:r>
              <w:rPr>
                <w:rFonts w:ascii="宋体" w:hAnsi="宋体"/>
                <w:b/>
              </w:rPr>
              <w:t>审</w:t>
            </w:r>
            <w:r>
              <w:rPr>
                <w:rFonts w:ascii="宋体" w:hAnsi="宋体"/>
                <w:b/>
                <w:spacing w:val="2"/>
              </w:rPr>
              <w:t>标</w:t>
            </w:r>
            <w:r>
              <w:rPr>
                <w:rFonts w:ascii="宋体" w:hAnsi="宋体"/>
                <w:b/>
              </w:rPr>
              <w:t>准</w:t>
            </w:r>
          </w:p>
        </w:tc>
      </w:tr>
      <w:tr>
        <w:tblPrEx>
          <w:tblW w:w="10018" w:type="dxa"/>
          <w:tblInd w:w="213" w:type="dxa"/>
          <w:tblLayout w:type="fixed"/>
          <w:tblCellMar>
            <w:top w:w="0" w:type="dxa"/>
            <w:left w:w="108" w:type="dxa"/>
            <w:bottom w:w="0" w:type="dxa"/>
            <w:right w:w="108" w:type="dxa"/>
          </w:tblCellMar>
        </w:tblPrEx>
        <w:trPr>
          <w:trHeight w:hRule="exact" w:val="1324"/>
        </w:trPr>
        <w:tc>
          <w:tcPr>
            <w:tcW w:w="598" w:type="dxa"/>
            <w:vMerge w:val="restart"/>
            <w:tcBorders>
              <w:top w:val="single" w:sz="6" w:space="0" w:color="000000"/>
              <w:left w:val="single" w:sz="6" w:space="0" w:color="000000"/>
              <w:bottom w:val="single" w:sz="6" w:space="0" w:color="000000"/>
              <w:right w:val="single" w:sz="4" w:space="0" w:color="auto"/>
            </w:tcBorders>
          </w:tcPr>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before="13" w:line="260" w:lineRule="exact"/>
              <w:rPr>
                <w:rFonts w:eastAsia="Times New Roman" w:hint="default"/>
                <w:sz w:val="26"/>
              </w:rPr>
            </w:pPr>
          </w:p>
          <w:p>
            <w:pPr>
              <w:pStyle w:val="TableParagraph"/>
              <w:kinsoku w:val="0"/>
              <w:overflowPunct w:val="0"/>
              <w:rPr>
                <w:rFonts w:eastAsia="Times New Roman" w:hint="default"/>
              </w:rPr>
            </w:pPr>
            <w:r>
              <w:rPr>
                <w:rFonts w:ascii="宋体" w:hAnsi="宋体"/>
              </w:rPr>
              <w:t>5.1</w:t>
            </w:r>
          </w:p>
        </w:tc>
        <w:tc>
          <w:tcPr>
            <w:tcW w:w="525" w:type="dxa"/>
            <w:vMerge w:val="restart"/>
            <w:tcBorders>
              <w:top w:val="single" w:sz="4" w:space="0" w:color="auto"/>
              <w:left w:val="single" w:sz="4" w:space="0" w:color="auto"/>
              <w:bottom w:val="single" w:sz="4" w:space="0" w:color="auto"/>
              <w:right w:val="single" w:sz="4" w:space="0" w:color="auto"/>
            </w:tcBorders>
          </w:tcPr>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before="11" w:line="240" w:lineRule="exact"/>
              <w:rPr>
                <w:rFonts w:eastAsia="Times New Roman" w:hint="default"/>
              </w:rPr>
            </w:pPr>
          </w:p>
          <w:p>
            <w:pPr>
              <w:pStyle w:val="TableParagraph"/>
              <w:kinsoku w:val="0"/>
              <w:overflowPunct w:val="0"/>
              <w:ind w:left="114"/>
              <w:rPr>
                <w:rFonts w:eastAsia="Times New Roman" w:hint="default"/>
              </w:rPr>
            </w:pPr>
            <w:r>
              <w:rPr>
                <w:rFonts w:ascii="宋体" w:hAnsi="宋体"/>
                <w:spacing w:val="-1"/>
              </w:rPr>
              <w:t>资格性审</w:t>
            </w:r>
            <w:r>
              <w:rPr>
                <w:rFonts w:ascii="宋体" w:hAnsi="宋体"/>
              </w:rPr>
              <w:t>查</w:t>
            </w:r>
          </w:p>
        </w:tc>
        <w:tc>
          <w:tcPr>
            <w:tcW w:w="1995" w:type="dxa"/>
            <w:tcBorders>
              <w:top w:val="single" w:sz="6" w:space="0" w:color="000000"/>
              <w:left w:val="single" w:sz="4" w:space="0" w:color="auto"/>
              <w:bottom w:val="single" w:sz="6" w:space="0" w:color="000000"/>
              <w:right w:val="single" w:sz="6" w:space="0" w:color="000000"/>
            </w:tcBorders>
            <w:vAlign w:val="center"/>
          </w:tcPr>
          <w:p>
            <w:pPr>
              <w:pStyle w:val="TableParagraph"/>
              <w:kinsoku w:val="0"/>
              <w:overflowPunct w:val="0"/>
              <w:jc w:val="both"/>
              <w:rPr>
                <w:rFonts w:hint="default"/>
              </w:rPr>
            </w:pPr>
            <w:r>
              <w:rPr>
                <w:rFonts w:ascii="宋体" w:hAnsi="宋体"/>
              </w:rPr>
              <w:t>供应商证照检测报告</w:t>
            </w:r>
          </w:p>
        </w:tc>
        <w:tc>
          <w:tcPr>
            <w:tcW w:w="6900"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137"/>
              <w:ind w:left="99"/>
              <w:rPr>
                <w:rFonts w:eastAsia="Times New Roman" w:hint="default"/>
              </w:rPr>
            </w:pPr>
            <w:r>
              <w:rPr>
                <w:rFonts w:ascii="宋体" w:hAnsi="宋体"/>
                <w:spacing w:val="4"/>
              </w:rPr>
              <w:t>提供了有效的企业法人营业执照副本、税务登记证副本、组织机构代码证副本或三证合一的营业执照</w:t>
            </w:r>
            <w:r>
              <w:rPr>
                <w:rFonts w:ascii="宋体" w:hAnsi="宋体"/>
              </w:rPr>
              <w:t>副本；</w:t>
            </w:r>
            <w:r>
              <w:rPr>
                <w:rFonts w:ascii="宋体" w:hAnsi="宋体" w:cs="宋体"/>
                <w:color w:val="000000"/>
                <w:szCs w:val="24"/>
                <w:lang w:bidi="ar"/>
              </w:rPr>
              <w:t>提供省级纺织纤维检测机构检测报告</w:t>
            </w:r>
            <w:r>
              <w:rPr>
                <w:rFonts w:ascii="宋体" w:hAnsi="宋体" w:cs="宋体"/>
                <w:b/>
                <w:bCs/>
                <w:color w:val="000000"/>
                <w:sz w:val="20"/>
                <w:szCs w:val="22"/>
                <w:lang w:bidi="ar"/>
              </w:rPr>
              <w:t xml:space="preserve">          </w:t>
            </w:r>
          </w:p>
        </w:tc>
      </w:tr>
      <w:tr>
        <w:tblPrEx>
          <w:tblW w:w="10018" w:type="dxa"/>
          <w:tblInd w:w="213" w:type="dxa"/>
          <w:tblLayout w:type="fixed"/>
          <w:tblCellMar>
            <w:top w:w="0" w:type="dxa"/>
            <w:left w:w="108" w:type="dxa"/>
            <w:bottom w:w="0" w:type="dxa"/>
            <w:right w:w="108" w:type="dxa"/>
          </w:tblCellMar>
        </w:tblPrEx>
        <w:trPr>
          <w:trHeight w:hRule="exact" w:val="846"/>
        </w:trPr>
        <w:tc>
          <w:tcPr>
            <w:tcW w:w="598" w:type="dxa"/>
            <w:vMerge/>
            <w:tcBorders>
              <w:top w:val="single" w:sz="6" w:space="0" w:color="000000"/>
              <w:left w:val="single" w:sz="6" w:space="0" w:color="000000"/>
              <w:bottom w:val="single" w:sz="6" w:space="0" w:color="000000"/>
              <w:right w:val="single" w:sz="4" w:space="0" w:color="auto"/>
            </w:tcBorders>
          </w:tcPr>
          <w:p>
            <w:pPr>
              <w:pStyle w:val="TableParagraph"/>
              <w:kinsoku w:val="0"/>
              <w:overflowPunct w:val="0"/>
              <w:spacing w:before="70"/>
              <w:ind w:left="99"/>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tcPr>
          <w:p>
            <w:pPr>
              <w:pStyle w:val="TableParagraph"/>
              <w:kinsoku w:val="0"/>
              <w:overflowPunct w:val="0"/>
              <w:spacing w:before="70"/>
              <w:ind w:left="99"/>
              <w:rPr>
                <w:rFonts w:eastAsia="Times New Roman" w:hint="default"/>
              </w:rPr>
            </w:pPr>
          </w:p>
        </w:tc>
        <w:tc>
          <w:tcPr>
            <w:tcW w:w="1995" w:type="dxa"/>
            <w:tcBorders>
              <w:top w:val="single" w:sz="6" w:space="0" w:color="000000"/>
              <w:left w:val="single" w:sz="4" w:space="0" w:color="auto"/>
              <w:bottom w:val="nil"/>
              <w:right w:val="single" w:sz="6" w:space="0" w:color="000000"/>
            </w:tcBorders>
          </w:tcPr>
          <w:p>
            <w:pPr>
              <w:pStyle w:val="TableParagraph"/>
              <w:kinsoku w:val="0"/>
              <w:overflowPunct w:val="0"/>
              <w:spacing w:before="140"/>
              <w:rPr>
                <w:rFonts w:eastAsia="Times New Roman" w:hint="default"/>
              </w:rPr>
            </w:pPr>
            <w:r>
              <w:rPr>
                <w:rFonts w:ascii="宋体" w:hAnsi="宋体"/>
              </w:rPr>
              <w:t>法定代表人递交时</w:t>
            </w:r>
          </w:p>
        </w:tc>
        <w:tc>
          <w:tcPr>
            <w:tcW w:w="6900"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140"/>
              <w:rPr>
                <w:rFonts w:eastAsia="Times New Roman" w:hint="default"/>
              </w:rPr>
            </w:pPr>
            <w:r>
              <w:rPr>
                <w:rFonts w:ascii="宋体" w:hAnsi="宋体"/>
                <w:spacing w:val="4"/>
              </w:rPr>
              <w:t>提供了有效的法定代表人身份证明书及法定代表人</w:t>
            </w:r>
            <w:r>
              <w:rPr>
                <w:rFonts w:ascii="宋体" w:hAnsi="宋体"/>
              </w:rPr>
              <w:t>身份证</w:t>
            </w:r>
          </w:p>
        </w:tc>
      </w:tr>
      <w:tr>
        <w:tblPrEx>
          <w:tblW w:w="10018" w:type="dxa"/>
          <w:tblInd w:w="213" w:type="dxa"/>
          <w:tblLayout w:type="fixed"/>
          <w:tblCellMar>
            <w:top w:w="0" w:type="dxa"/>
            <w:left w:w="108" w:type="dxa"/>
            <w:bottom w:w="0" w:type="dxa"/>
            <w:right w:w="108" w:type="dxa"/>
          </w:tblCellMar>
        </w:tblPrEx>
        <w:trPr>
          <w:trHeight w:hRule="exact" w:val="983"/>
        </w:trPr>
        <w:tc>
          <w:tcPr>
            <w:tcW w:w="598" w:type="dxa"/>
            <w:vMerge/>
            <w:tcBorders>
              <w:top w:val="single" w:sz="6" w:space="0" w:color="000000"/>
              <w:left w:val="single" w:sz="6" w:space="0" w:color="000000"/>
              <w:bottom w:val="single" w:sz="6" w:space="0" w:color="000000"/>
              <w:right w:val="single" w:sz="4" w:space="0" w:color="auto"/>
            </w:tcBorders>
          </w:tcPr>
          <w:p>
            <w:pPr>
              <w:pStyle w:val="TableParagraph"/>
              <w:kinsoku w:val="0"/>
              <w:overflowPunct w:val="0"/>
              <w:spacing w:before="69"/>
              <w:ind w:left="99"/>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tcPr>
          <w:p>
            <w:pPr>
              <w:pStyle w:val="TableParagraph"/>
              <w:kinsoku w:val="0"/>
              <w:overflowPunct w:val="0"/>
              <w:spacing w:before="69"/>
              <w:ind w:left="99"/>
              <w:rPr>
                <w:rFonts w:eastAsia="Times New Roman" w:hint="default"/>
              </w:rPr>
            </w:pPr>
          </w:p>
        </w:tc>
        <w:tc>
          <w:tcPr>
            <w:tcW w:w="1995" w:type="dxa"/>
            <w:tcBorders>
              <w:top w:val="single" w:sz="6" w:space="0" w:color="000000"/>
              <w:left w:val="single" w:sz="4" w:space="0" w:color="auto"/>
              <w:bottom w:val="nil"/>
              <w:right w:val="single" w:sz="6" w:space="0" w:color="000000"/>
            </w:tcBorders>
          </w:tcPr>
          <w:p>
            <w:pPr>
              <w:pStyle w:val="TableParagraph"/>
              <w:kinsoku w:val="0"/>
              <w:overflowPunct w:val="0"/>
              <w:spacing w:before="137"/>
              <w:rPr>
                <w:rFonts w:eastAsia="Times New Roman" w:hint="default"/>
              </w:rPr>
            </w:pPr>
            <w:r>
              <w:rPr>
                <w:rFonts w:ascii="宋体" w:hAnsi="宋体"/>
              </w:rPr>
              <w:t>委托代理人递交时</w:t>
            </w:r>
          </w:p>
        </w:tc>
        <w:tc>
          <w:tcPr>
            <w:tcW w:w="6900"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137"/>
              <w:ind w:left="99"/>
              <w:rPr>
                <w:rFonts w:eastAsia="Times New Roman" w:hint="default"/>
              </w:rPr>
            </w:pPr>
            <w:r>
              <w:rPr>
                <w:rFonts w:ascii="宋体" w:hAnsi="宋体"/>
                <w:spacing w:val="4"/>
              </w:rPr>
              <w:t>提供了有效的法定代表人身份证明书、法定代表人</w:t>
            </w:r>
            <w:r>
              <w:rPr>
                <w:rFonts w:ascii="宋体" w:hAnsi="宋体"/>
              </w:rPr>
              <w:t>授权委托书及委托代理人身份证</w:t>
            </w:r>
          </w:p>
        </w:tc>
      </w:tr>
      <w:tr>
        <w:tblPrEx>
          <w:tblW w:w="10018" w:type="dxa"/>
          <w:tblInd w:w="213" w:type="dxa"/>
          <w:tblLayout w:type="fixed"/>
          <w:tblCellMar>
            <w:top w:w="0" w:type="dxa"/>
            <w:left w:w="108" w:type="dxa"/>
            <w:bottom w:w="0" w:type="dxa"/>
            <w:right w:w="108" w:type="dxa"/>
          </w:tblCellMar>
        </w:tblPrEx>
        <w:trPr>
          <w:trHeight w:hRule="exact" w:val="479"/>
        </w:trPr>
        <w:tc>
          <w:tcPr>
            <w:tcW w:w="598" w:type="dxa"/>
            <w:vMerge/>
            <w:tcBorders>
              <w:top w:val="single" w:sz="6" w:space="0" w:color="000000"/>
              <w:left w:val="single" w:sz="6" w:space="0" w:color="000000"/>
              <w:bottom w:val="single" w:sz="6" w:space="0" w:color="000000"/>
              <w:right w:val="single" w:sz="4" w:space="0" w:color="auto"/>
            </w:tcBorders>
          </w:tcPr>
          <w:p>
            <w:pPr>
              <w:pStyle w:val="TableParagraph"/>
              <w:kinsoku w:val="0"/>
              <w:overflowPunct w:val="0"/>
              <w:spacing w:before="70"/>
              <w:ind w:left="99"/>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tcPr>
          <w:p>
            <w:pPr>
              <w:pStyle w:val="TableParagraph"/>
              <w:kinsoku w:val="0"/>
              <w:overflowPunct w:val="0"/>
              <w:spacing w:before="70"/>
              <w:ind w:left="99"/>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tcPr>
          <w:p>
            <w:pPr>
              <w:pStyle w:val="TableParagraph"/>
              <w:kinsoku w:val="0"/>
              <w:overflowPunct w:val="0"/>
              <w:rPr>
                <w:rFonts w:eastAsia="Times New Roman" w:hint="default"/>
              </w:rPr>
            </w:pPr>
            <w:r>
              <w:rPr>
                <w:rFonts w:ascii="宋体" w:hAnsi="宋体"/>
              </w:rPr>
              <w:t>投标保证金</w:t>
            </w:r>
          </w:p>
        </w:tc>
        <w:tc>
          <w:tcPr>
            <w:tcW w:w="6900"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line="380" w:lineRule="auto"/>
              <w:ind w:right="-21"/>
              <w:rPr>
                <w:rFonts w:eastAsia="Times New Roman" w:hint="default"/>
              </w:rPr>
            </w:pPr>
            <w:r>
              <w:rPr>
                <w:rFonts w:ascii="宋体" w:hAnsi="宋体"/>
              </w:rPr>
              <w:t>符合第二章</w:t>
            </w:r>
            <w:r>
              <w:rPr>
                <w:rFonts w:eastAsia="Times New Roman" w:hint="default"/>
                <w:spacing w:val="-1"/>
              </w:rPr>
              <w:t>“</w:t>
            </w:r>
            <w:r>
              <w:rPr>
                <w:rFonts w:ascii="宋体" w:hAnsi="宋体"/>
              </w:rPr>
              <w:t>供应商须知规定</w:t>
            </w:r>
            <w:r>
              <w:rPr>
                <w:rFonts w:ascii="宋体" w:hAnsi="宋体"/>
                <w:spacing w:val="-44"/>
              </w:rPr>
              <w:t>，</w:t>
            </w:r>
            <w:r>
              <w:rPr>
                <w:rFonts w:ascii="宋体" w:hAnsi="宋体"/>
              </w:rPr>
              <w:t>提</w:t>
            </w:r>
            <w:r>
              <w:rPr>
                <w:rFonts w:ascii="宋体" w:hAnsi="宋体"/>
                <w:spacing w:val="2"/>
              </w:rPr>
              <w:t>供</w:t>
            </w:r>
            <w:r>
              <w:rPr>
                <w:rFonts w:ascii="宋体" w:hAnsi="宋体"/>
              </w:rPr>
              <w:t>了有效的投标保证金缴纳凭证</w:t>
            </w:r>
          </w:p>
        </w:tc>
      </w:tr>
      <w:tr>
        <w:tblPrEx>
          <w:tblW w:w="10018" w:type="dxa"/>
          <w:tblInd w:w="213" w:type="dxa"/>
          <w:tblLayout w:type="fixed"/>
          <w:tblCellMar>
            <w:top w:w="0" w:type="dxa"/>
            <w:left w:w="108" w:type="dxa"/>
            <w:bottom w:w="0" w:type="dxa"/>
            <w:right w:w="108" w:type="dxa"/>
          </w:tblCellMar>
        </w:tblPrEx>
        <w:trPr>
          <w:trHeight w:hRule="exact" w:val="1964"/>
        </w:trPr>
        <w:tc>
          <w:tcPr>
            <w:tcW w:w="598" w:type="dxa"/>
            <w:vMerge/>
            <w:tcBorders>
              <w:top w:val="single" w:sz="6" w:space="0" w:color="000000"/>
              <w:left w:val="single" w:sz="6" w:space="0" w:color="000000"/>
              <w:bottom w:val="single" w:sz="6" w:space="0" w:color="000000"/>
              <w:right w:val="single" w:sz="4" w:space="0" w:color="auto"/>
            </w:tcBorders>
          </w:tcPr>
          <w:p>
            <w:pPr>
              <w:pStyle w:val="TableParagraph"/>
              <w:kinsoku w:val="0"/>
              <w:overflowPunct w:val="0"/>
              <w:spacing w:line="380" w:lineRule="auto"/>
              <w:ind w:left="99" w:right="-21"/>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tcPr>
          <w:p>
            <w:pPr>
              <w:pStyle w:val="TableParagraph"/>
              <w:kinsoku w:val="0"/>
              <w:overflowPunct w:val="0"/>
              <w:spacing w:line="380" w:lineRule="auto"/>
              <w:ind w:left="99" w:right="-21"/>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vAlign w:val="center"/>
          </w:tcPr>
          <w:p>
            <w:pPr>
              <w:pStyle w:val="TableParagraph"/>
              <w:kinsoku w:val="0"/>
              <w:overflowPunct w:val="0"/>
              <w:spacing w:before="9" w:line="170" w:lineRule="exact"/>
              <w:jc w:val="center"/>
              <w:rPr>
                <w:rFonts w:eastAsia="Times New Roman" w:hint="default"/>
                <w:sz w:val="17"/>
              </w:rPr>
            </w:pPr>
          </w:p>
          <w:p>
            <w:pPr>
              <w:pStyle w:val="TableParagraph"/>
              <w:kinsoku w:val="0"/>
              <w:overflowPunct w:val="0"/>
              <w:jc w:val="center"/>
              <w:rPr>
                <w:rFonts w:eastAsia="Times New Roman" w:hint="default"/>
              </w:rPr>
            </w:pPr>
            <w:r>
              <w:rPr>
                <w:rFonts w:ascii="宋体" w:hAnsi="宋体"/>
              </w:rPr>
              <w:t>财务状况</w:t>
            </w:r>
          </w:p>
        </w:tc>
        <w:tc>
          <w:tcPr>
            <w:tcW w:w="6900"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137"/>
              <w:ind w:left="99"/>
              <w:jc w:val="both"/>
              <w:rPr>
                <w:rFonts w:eastAsia="Times New Roman" w:hint="default"/>
              </w:rPr>
            </w:pPr>
            <w:r>
              <w:rPr>
                <w:rFonts w:ascii="宋体" w:hAnsi="宋体"/>
              </w:rPr>
              <w:t>提供</w:t>
            </w:r>
            <w:r>
              <w:t>近三年（2018至今）任意一年</w:t>
            </w:r>
            <w:r>
              <w:rPr>
                <w:rFonts w:ascii="宋体" w:hAnsi="宋体"/>
              </w:rPr>
              <w:t>经第三方审计的审计报告及财务报表</w:t>
            </w:r>
            <w:r>
              <w:rPr>
                <w:rFonts w:eastAsia="Times New Roman" w:hint="default"/>
              </w:rPr>
              <w:t>(</w:t>
            </w:r>
            <w:r>
              <w:rPr>
                <w:rFonts w:ascii="宋体" w:hAnsi="宋体"/>
              </w:rPr>
              <w:t>包括审计报告、资产负债表、利润表、现金流量表及其财务情况说明</w:t>
            </w:r>
            <w:r>
              <w:rPr>
                <w:rFonts w:eastAsia="Times New Roman" w:hint="default"/>
              </w:rPr>
              <w:t>)</w:t>
            </w:r>
            <w:r>
              <w:rPr>
                <w:rFonts w:ascii="宋体" w:hAnsi="宋体"/>
              </w:rPr>
              <w:t>，成立不满</w:t>
            </w:r>
            <w:r>
              <w:rPr>
                <w:rFonts w:eastAsia="Times New Roman" w:hint="default"/>
              </w:rPr>
              <w:t>1</w:t>
            </w:r>
            <w:r>
              <w:rPr>
                <w:rFonts w:ascii="宋体" w:hAnsi="宋体"/>
              </w:rPr>
              <w:t>年的，提供自成立至今经第三方审计的审计报告及财务报表</w:t>
            </w:r>
            <w:r>
              <w:rPr>
                <w:rFonts w:eastAsia="Times New Roman" w:hint="default"/>
              </w:rPr>
              <w:t>(</w:t>
            </w:r>
            <w:r>
              <w:rPr>
                <w:rFonts w:ascii="宋体" w:hAnsi="宋体"/>
              </w:rPr>
              <w:t>包括审计报告、资产负债表、利润表、现金流量表</w:t>
            </w:r>
            <w:r>
              <w:rPr>
                <w:rFonts w:eastAsia="Times New Roman" w:hint="default"/>
              </w:rPr>
              <w:t>)</w:t>
            </w:r>
          </w:p>
        </w:tc>
      </w:tr>
      <w:tr>
        <w:tblPrEx>
          <w:tblW w:w="10018" w:type="dxa"/>
          <w:tblInd w:w="213" w:type="dxa"/>
          <w:tblLayout w:type="fixed"/>
          <w:tblCellMar>
            <w:top w:w="0" w:type="dxa"/>
            <w:left w:w="108" w:type="dxa"/>
            <w:bottom w:w="0" w:type="dxa"/>
            <w:right w:w="108" w:type="dxa"/>
          </w:tblCellMar>
        </w:tblPrEx>
        <w:trPr>
          <w:trHeight w:hRule="exact" w:val="813"/>
        </w:trPr>
        <w:tc>
          <w:tcPr>
            <w:tcW w:w="598" w:type="dxa"/>
            <w:vMerge/>
            <w:tcBorders>
              <w:top w:val="single" w:sz="6" w:space="0" w:color="000000"/>
              <w:left w:val="single" w:sz="6" w:space="0" w:color="000000"/>
              <w:bottom w:val="single" w:sz="6" w:space="0" w:color="000000"/>
              <w:right w:val="single" w:sz="4" w:space="0" w:color="auto"/>
            </w:tcBorders>
          </w:tcPr>
          <w:p>
            <w:pPr>
              <w:pStyle w:val="TableParagraph"/>
              <w:kinsoku w:val="0"/>
              <w:overflowPunct w:val="0"/>
              <w:spacing w:before="70"/>
              <w:ind w:left="99"/>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tcPr>
          <w:p>
            <w:pPr>
              <w:pStyle w:val="TableParagraph"/>
              <w:kinsoku w:val="0"/>
              <w:overflowPunct w:val="0"/>
              <w:spacing w:before="70"/>
              <w:ind w:left="99"/>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tcPr>
          <w:p>
            <w:pPr>
              <w:pStyle w:val="TableParagraph"/>
              <w:kinsoku w:val="0"/>
              <w:overflowPunct w:val="0"/>
              <w:spacing w:line="320" w:lineRule="exact"/>
              <w:rPr>
                <w:rFonts w:eastAsia="Times New Roman" w:hint="default"/>
                <w:sz w:val="32"/>
              </w:rPr>
            </w:pPr>
          </w:p>
          <w:p>
            <w:pPr>
              <w:pStyle w:val="TableParagraph"/>
              <w:kinsoku w:val="0"/>
              <w:overflowPunct w:val="0"/>
              <w:rPr>
                <w:rFonts w:eastAsia="Times New Roman" w:hint="default"/>
              </w:rPr>
            </w:pPr>
            <w:r>
              <w:rPr>
                <w:rFonts w:ascii="宋体" w:hAnsi="宋体"/>
              </w:rPr>
              <w:t>依法缴税缴费</w:t>
            </w:r>
          </w:p>
        </w:tc>
        <w:tc>
          <w:tcPr>
            <w:tcW w:w="6900" w:type="dxa"/>
            <w:tcBorders>
              <w:top w:val="single" w:sz="6" w:space="0" w:color="000000"/>
              <w:left w:val="single" w:sz="6" w:space="0" w:color="000000"/>
              <w:bottom w:val="single" w:sz="6" w:space="0" w:color="000000"/>
              <w:right w:val="single" w:sz="6" w:space="0" w:color="000000"/>
            </w:tcBorders>
            <w:vAlign w:val="center"/>
          </w:tcPr>
          <w:p>
            <w:pPr>
              <w:autoSpaceDE/>
              <w:autoSpaceDN/>
              <w:spacing w:line="360" w:lineRule="auto"/>
              <w:rPr>
                <w:rFonts w:ascii="宋体" w:hAnsi="宋体" w:hint="default"/>
                <w:szCs w:val="24"/>
              </w:rPr>
            </w:pPr>
            <w:r>
              <w:rPr>
                <w:rFonts w:ascii="宋体" w:hAnsi="宋体"/>
                <w:szCs w:val="24"/>
              </w:rPr>
              <w:t>提供2020年任意三个月税收缴纳证明或完税证明</w:t>
            </w:r>
            <w:r>
              <w:rPr>
                <w:rFonts w:ascii="宋体" w:hAnsi="宋体"/>
              </w:rPr>
              <w:t>材料</w:t>
            </w:r>
            <w:r>
              <w:rPr>
                <w:rFonts w:ascii="宋体" w:hAnsi="宋体"/>
                <w:szCs w:val="24"/>
              </w:rPr>
              <w:t>；提供2020年度以来任意三个月的社保缴纳证明</w:t>
            </w:r>
            <w:r>
              <w:rPr>
                <w:rFonts w:ascii="宋体" w:hAnsi="宋体"/>
              </w:rPr>
              <w:t>材料</w:t>
            </w:r>
          </w:p>
          <w:p>
            <w:pPr>
              <w:autoSpaceDE/>
              <w:autoSpaceDN/>
              <w:spacing w:line="360" w:lineRule="auto"/>
              <w:rPr>
                <w:rFonts w:ascii="宋体" w:hAnsi="宋体" w:hint="default"/>
                <w:szCs w:val="24"/>
              </w:rPr>
            </w:pPr>
          </w:p>
          <w:p>
            <w:pPr>
              <w:autoSpaceDE/>
              <w:autoSpaceDN/>
              <w:spacing w:line="360" w:lineRule="auto"/>
              <w:rPr>
                <w:rFonts w:ascii="宋体" w:hAnsi="宋体" w:hint="default"/>
                <w:szCs w:val="24"/>
              </w:rPr>
            </w:pPr>
            <w:r>
              <w:rPr>
                <w:rFonts w:ascii="宋体" w:hAnsi="宋体"/>
                <w:szCs w:val="24"/>
              </w:rPr>
              <w:t>（3）提供2020年度以来任意三个月的社保缴纳证明；</w:t>
            </w:r>
          </w:p>
          <w:p>
            <w:pPr>
              <w:pStyle w:val="TableParagraph"/>
              <w:kinsoku w:val="0"/>
              <w:overflowPunct w:val="0"/>
              <w:spacing w:before="2" w:line="440" w:lineRule="exact"/>
              <w:ind w:left="99" w:right="-21"/>
              <w:jc w:val="center"/>
              <w:rPr>
                <w:rFonts w:eastAsia="Times New Roman" w:hint="default"/>
              </w:rPr>
            </w:pPr>
          </w:p>
        </w:tc>
      </w:tr>
      <w:tr>
        <w:tblPrEx>
          <w:tblW w:w="10018" w:type="dxa"/>
          <w:tblInd w:w="213" w:type="dxa"/>
          <w:tblLayout w:type="fixed"/>
          <w:tblCellMar>
            <w:top w:w="0" w:type="dxa"/>
            <w:left w:w="108" w:type="dxa"/>
            <w:bottom w:w="0" w:type="dxa"/>
            <w:right w:w="108" w:type="dxa"/>
          </w:tblCellMar>
        </w:tblPrEx>
        <w:trPr>
          <w:trHeight w:hRule="exact" w:val="911"/>
        </w:trPr>
        <w:tc>
          <w:tcPr>
            <w:tcW w:w="598" w:type="dxa"/>
            <w:vMerge/>
            <w:tcBorders>
              <w:top w:val="single" w:sz="6" w:space="0" w:color="000000"/>
              <w:left w:val="single" w:sz="6" w:space="0" w:color="000000"/>
              <w:bottom w:val="single" w:sz="6" w:space="0" w:color="000000"/>
              <w:right w:val="single" w:sz="4" w:space="0" w:color="auto"/>
            </w:tcBorders>
          </w:tcPr>
          <w:p>
            <w:pPr>
              <w:pStyle w:val="TableParagraph"/>
              <w:kinsoku w:val="0"/>
              <w:overflowPunct w:val="0"/>
              <w:spacing w:before="2" w:line="440" w:lineRule="exact"/>
              <w:ind w:left="99" w:right="-21"/>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tcPr>
          <w:p>
            <w:pPr>
              <w:pStyle w:val="TableParagraph"/>
              <w:kinsoku w:val="0"/>
              <w:overflowPunct w:val="0"/>
              <w:spacing w:before="2" w:line="440" w:lineRule="exact"/>
              <w:ind w:left="99" w:right="-21"/>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tcPr>
          <w:p>
            <w:pPr>
              <w:pStyle w:val="TableParagraph"/>
              <w:kinsoku w:val="0"/>
              <w:overflowPunct w:val="0"/>
              <w:rPr>
                <w:rFonts w:eastAsia="Times New Roman" w:hint="default"/>
              </w:rPr>
            </w:pPr>
            <w:r>
              <w:rPr>
                <w:rFonts w:ascii="宋体" w:hAnsi="宋体"/>
              </w:rPr>
              <w:t>无重大违法记录</w:t>
            </w:r>
          </w:p>
        </w:tc>
        <w:tc>
          <w:tcPr>
            <w:tcW w:w="6900"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line="378" w:lineRule="auto"/>
              <w:ind w:right="-21"/>
              <w:rPr>
                <w:rFonts w:eastAsia="Times New Roman" w:hint="default"/>
              </w:rPr>
            </w:pPr>
            <w:r>
              <w:rPr>
                <w:rFonts w:ascii="宋体" w:hAnsi="宋体"/>
              </w:rPr>
              <w:t>提供了供应商参加政府采购活动前</w:t>
            </w:r>
            <w:r>
              <w:rPr>
                <w:rFonts w:ascii="宋体" w:hAnsi="宋体"/>
                <w:spacing w:val="-5"/>
              </w:rPr>
              <w:t xml:space="preserve"> </w:t>
            </w:r>
            <w:r>
              <w:rPr>
                <w:rFonts w:eastAsia="Times New Roman" w:hint="default"/>
              </w:rPr>
              <w:t>3</w:t>
            </w:r>
            <w:r>
              <w:rPr>
                <w:rFonts w:ascii="宋体" w:hAnsi="宋体"/>
              </w:rPr>
              <w:t>年内，在经营活动中没有重大违法记录声明函</w:t>
            </w:r>
          </w:p>
        </w:tc>
      </w:tr>
      <w:tr>
        <w:tblPrEx>
          <w:tblW w:w="10018" w:type="dxa"/>
          <w:tblInd w:w="213" w:type="dxa"/>
          <w:tblLayout w:type="fixed"/>
          <w:tblCellMar>
            <w:top w:w="0" w:type="dxa"/>
            <w:left w:w="108" w:type="dxa"/>
            <w:bottom w:w="0" w:type="dxa"/>
            <w:right w:w="108" w:type="dxa"/>
          </w:tblCellMar>
        </w:tblPrEx>
        <w:trPr>
          <w:trHeight w:hRule="exact" w:val="1851"/>
        </w:trPr>
        <w:tc>
          <w:tcPr>
            <w:tcW w:w="598" w:type="dxa"/>
            <w:vMerge/>
            <w:tcBorders>
              <w:top w:val="single" w:sz="6" w:space="0" w:color="000000"/>
              <w:left w:val="single" w:sz="6" w:space="0" w:color="000000"/>
              <w:bottom w:val="single" w:sz="4" w:space="0" w:color="auto"/>
              <w:right w:val="single" w:sz="4" w:space="0" w:color="auto"/>
            </w:tcBorders>
          </w:tcPr>
          <w:p>
            <w:pPr>
              <w:pStyle w:val="TableParagraph"/>
              <w:kinsoku w:val="0"/>
              <w:overflowPunct w:val="0"/>
              <w:spacing w:before="132"/>
              <w:ind w:left="99"/>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tcPr>
          <w:p>
            <w:pPr>
              <w:pStyle w:val="TableParagraph"/>
              <w:kinsoku w:val="0"/>
              <w:overflowPunct w:val="0"/>
              <w:spacing w:before="132"/>
              <w:ind w:left="99"/>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tcPr>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before="17" w:line="260" w:lineRule="exact"/>
              <w:rPr>
                <w:rFonts w:eastAsia="Times New Roman" w:hint="default"/>
                <w:sz w:val="26"/>
              </w:rPr>
            </w:pPr>
          </w:p>
          <w:p>
            <w:pPr>
              <w:pStyle w:val="TableParagraph"/>
              <w:kinsoku w:val="0"/>
              <w:overflowPunct w:val="0"/>
              <w:rPr>
                <w:rFonts w:eastAsia="Times New Roman" w:hint="default"/>
              </w:rPr>
            </w:pPr>
            <w:r>
              <w:rPr>
                <w:rFonts w:ascii="宋体" w:hAnsi="宋体"/>
              </w:rPr>
              <w:t>信用中国</w:t>
            </w:r>
          </w:p>
        </w:tc>
        <w:tc>
          <w:tcPr>
            <w:tcW w:w="6900"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75" w:line="331" w:lineRule="auto"/>
              <w:ind w:left="99" w:right="100"/>
              <w:jc w:val="both"/>
              <w:rPr>
                <w:rFonts w:eastAsia="Times New Roman" w:hint="default"/>
              </w:rPr>
            </w:pPr>
            <w:r>
              <w:rPr>
                <w:rFonts w:ascii="宋体" w:hAnsi="宋体"/>
                <w:spacing w:val="-3"/>
              </w:rPr>
              <w:t>信用中国”网站（</w:t>
            </w:r>
            <w:r>
              <w:fldChar w:fldCharType="begin"/>
            </w:r>
            <w:r>
              <w:instrText xml:space="preserve"> HYPERLINK "http://www.creditchina.gov.cn/" </w:instrText>
            </w:r>
            <w:r>
              <w:fldChar w:fldCharType="separate"/>
            </w:r>
            <w:r>
              <w:rPr>
                <w:rFonts w:eastAsia="Times New Roman" w:hint="default"/>
                <w:spacing w:val="-3"/>
              </w:rPr>
              <w:t>www.creditchina.gov.cn</w:t>
            </w:r>
            <w:r>
              <w:rPr>
                <w:rFonts w:eastAsia="Times New Roman" w:hint="default"/>
                <w:spacing w:val="-3"/>
              </w:rPr>
              <w:fldChar w:fldCharType="end"/>
            </w:r>
            <w:r>
              <w:rPr>
                <w:rFonts w:ascii="宋体" w:hAnsi="宋体"/>
                <w:spacing w:val="-3"/>
              </w:rPr>
              <w:t>）失信被执</w:t>
            </w:r>
            <w:r>
              <w:rPr>
                <w:rFonts w:ascii="宋体" w:hAnsi="宋体"/>
                <w:spacing w:val="39"/>
              </w:rPr>
              <w:t xml:space="preserve"> </w:t>
            </w:r>
            <w:r>
              <w:rPr>
                <w:rFonts w:ascii="宋体" w:hAnsi="宋体"/>
                <w:spacing w:val="4"/>
              </w:rPr>
              <w:t>行人、重大税收违法案件当事人名单、政府采购严</w:t>
            </w:r>
            <w:r>
              <w:rPr>
                <w:rFonts w:ascii="宋体" w:hAnsi="宋体"/>
              </w:rPr>
              <w:t>重</w:t>
            </w:r>
            <w:r>
              <w:rPr>
                <w:rFonts w:ascii="宋体" w:hAnsi="宋体"/>
                <w:spacing w:val="-75"/>
              </w:rPr>
              <w:t xml:space="preserve"> </w:t>
            </w:r>
            <w:r>
              <w:rPr>
                <w:rFonts w:ascii="宋体" w:hAnsi="宋体"/>
              </w:rPr>
              <w:t>违</w:t>
            </w:r>
            <w:r>
              <w:rPr>
                <w:rFonts w:ascii="宋体" w:hAnsi="宋体"/>
                <w:spacing w:val="-75"/>
              </w:rPr>
              <w:t xml:space="preserve"> </w:t>
            </w:r>
            <w:r>
              <w:rPr>
                <w:rFonts w:ascii="宋体" w:hAnsi="宋体"/>
              </w:rPr>
              <w:t>法</w:t>
            </w:r>
            <w:r>
              <w:rPr>
                <w:rFonts w:ascii="宋体" w:hAnsi="宋体"/>
                <w:spacing w:val="-75"/>
              </w:rPr>
              <w:t xml:space="preserve"> </w:t>
            </w:r>
            <w:r>
              <w:rPr>
                <w:rFonts w:ascii="宋体" w:hAnsi="宋体"/>
              </w:rPr>
              <w:t>失</w:t>
            </w:r>
            <w:r>
              <w:rPr>
                <w:rFonts w:ascii="宋体" w:hAnsi="宋体"/>
                <w:spacing w:val="-75"/>
              </w:rPr>
              <w:t xml:space="preserve"> </w:t>
            </w:r>
            <w:r>
              <w:rPr>
                <w:rFonts w:ascii="宋体" w:hAnsi="宋体"/>
              </w:rPr>
              <w:t>信</w:t>
            </w:r>
            <w:r>
              <w:rPr>
                <w:rFonts w:ascii="宋体" w:hAnsi="宋体"/>
                <w:spacing w:val="-75"/>
              </w:rPr>
              <w:t xml:space="preserve"> </w:t>
            </w:r>
            <w:r>
              <w:rPr>
                <w:rFonts w:ascii="宋体" w:hAnsi="宋体"/>
              </w:rPr>
              <w:t>行</w:t>
            </w:r>
            <w:r>
              <w:rPr>
                <w:rFonts w:ascii="宋体" w:hAnsi="宋体"/>
                <w:spacing w:val="-73"/>
              </w:rPr>
              <w:t xml:space="preserve"> </w:t>
            </w:r>
            <w:r>
              <w:rPr>
                <w:rFonts w:ascii="宋体" w:hAnsi="宋体"/>
              </w:rPr>
              <w:t>为</w:t>
            </w:r>
            <w:r>
              <w:rPr>
                <w:rFonts w:ascii="宋体" w:hAnsi="宋体"/>
                <w:spacing w:val="-75"/>
              </w:rPr>
              <w:t xml:space="preserve"> </w:t>
            </w:r>
            <w:r>
              <w:rPr>
                <w:rFonts w:ascii="宋体" w:hAnsi="宋体"/>
              </w:rPr>
              <w:t>记</w:t>
            </w:r>
            <w:r>
              <w:rPr>
                <w:rFonts w:ascii="宋体" w:hAnsi="宋体"/>
                <w:spacing w:val="-73"/>
              </w:rPr>
              <w:t xml:space="preserve"> </w:t>
            </w:r>
            <w:r>
              <w:rPr>
                <w:rFonts w:ascii="宋体" w:hAnsi="宋体"/>
              </w:rPr>
              <w:t>录</w:t>
            </w:r>
            <w:r>
              <w:rPr>
                <w:rFonts w:ascii="宋体" w:hAnsi="宋体"/>
                <w:spacing w:val="-75"/>
              </w:rPr>
              <w:t xml:space="preserve"> </w:t>
            </w:r>
            <w:r>
              <w:rPr>
                <w:rFonts w:ascii="宋体" w:hAnsi="宋体"/>
              </w:rPr>
              <w:t>名</w:t>
            </w:r>
            <w:r>
              <w:rPr>
                <w:rFonts w:ascii="宋体" w:hAnsi="宋体"/>
                <w:spacing w:val="-75"/>
              </w:rPr>
              <w:t xml:space="preserve"> </w:t>
            </w:r>
            <w:r>
              <w:rPr>
                <w:rFonts w:ascii="宋体" w:hAnsi="宋体"/>
              </w:rPr>
              <w:t>单</w:t>
            </w:r>
            <w:r>
              <w:rPr>
                <w:rFonts w:ascii="宋体" w:hAnsi="宋体"/>
                <w:spacing w:val="-75"/>
              </w:rPr>
              <w:t xml:space="preserve"> </w:t>
            </w:r>
            <w:r>
              <w:rPr>
                <w:rFonts w:ascii="宋体" w:hAnsi="宋体"/>
              </w:rPr>
              <w:t>及</w:t>
            </w:r>
            <w:r>
              <w:rPr>
                <w:rFonts w:ascii="宋体" w:hAnsi="宋体"/>
                <w:spacing w:val="-75"/>
              </w:rPr>
              <w:t xml:space="preserve"> </w:t>
            </w:r>
            <w:r>
              <w:rPr>
                <w:rFonts w:ascii="宋体" w:hAnsi="宋体"/>
              </w:rPr>
              <w:t>中</w:t>
            </w:r>
            <w:r>
              <w:rPr>
                <w:rFonts w:ascii="宋体" w:hAnsi="宋体"/>
                <w:spacing w:val="-75"/>
              </w:rPr>
              <w:t xml:space="preserve"> </w:t>
            </w:r>
            <w:r>
              <w:rPr>
                <w:rFonts w:ascii="宋体" w:hAnsi="宋体"/>
              </w:rPr>
              <w:t>国</w:t>
            </w:r>
            <w:r>
              <w:rPr>
                <w:rFonts w:ascii="宋体" w:hAnsi="宋体"/>
                <w:spacing w:val="-73"/>
              </w:rPr>
              <w:t xml:space="preserve"> </w:t>
            </w:r>
            <w:r>
              <w:rPr>
                <w:rFonts w:ascii="宋体" w:hAnsi="宋体"/>
              </w:rPr>
              <w:t>政</w:t>
            </w:r>
            <w:r>
              <w:rPr>
                <w:rFonts w:ascii="宋体" w:hAnsi="宋体"/>
                <w:spacing w:val="-75"/>
              </w:rPr>
              <w:t xml:space="preserve"> </w:t>
            </w:r>
            <w:r>
              <w:rPr>
                <w:rFonts w:ascii="宋体" w:hAnsi="宋体"/>
              </w:rPr>
              <w:t>府</w:t>
            </w:r>
            <w:r>
              <w:rPr>
                <w:rFonts w:ascii="宋体" w:hAnsi="宋体"/>
                <w:spacing w:val="-73"/>
              </w:rPr>
              <w:t xml:space="preserve"> </w:t>
            </w:r>
            <w:r>
              <w:rPr>
                <w:rFonts w:ascii="宋体" w:hAnsi="宋体"/>
              </w:rPr>
              <w:t>采</w:t>
            </w:r>
            <w:r>
              <w:rPr>
                <w:rFonts w:ascii="宋体" w:hAnsi="宋体"/>
                <w:spacing w:val="-75"/>
              </w:rPr>
              <w:t xml:space="preserve"> </w:t>
            </w:r>
            <w:r>
              <w:rPr>
                <w:rFonts w:ascii="宋体" w:hAnsi="宋体"/>
              </w:rPr>
              <w:t>购</w:t>
            </w:r>
            <w:r>
              <w:rPr>
                <w:rFonts w:ascii="宋体" w:hAnsi="宋体"/>
                <w:spacing w:val="-75"/>
              </w:rPr>
              <w:t xml:space="preserve"> </w:t>
            </w:r>
            <w:r>
              <w:rPr>
                <w:rFonts w:ascii="宋体" w:hAnsi="宋体"/>
              </w:rPr>
              <w:t>网信息记录”</w:t>
            </w:r>
            <w:r>
              <w:rPr>
                <w:rFonts w:ascii="宋体" w:hAnsi="宋体"/>
                <w:spacing w:val="1"/>
              </w:rPr>
              <w:t>（</w:t>
            </w:r>
            <w:r>
              <w:fldChar w:fldCharType="begin"/>
            </w:r>
            <w:r>
              <w:instrText xml:space="preserve"> HYPERLINK "http://www.ccgp.gov.cn/" </w:instrText>
            </w:r>
            <w:r>
              <w:fldChar w:fldCharType="separate"/>
            </w:r>
            <w:r>
              <w:rPr>
                <w:rFonts w:eastAsia="Times New Roman" w:hint="default"/>
                <w:spacing w:val="1"/>
              </w:rPr>
              <w:t>www.ccgp.gov.cn</w:t>
            </w:r>
            <w:r>
              <w:rPr>
                <w:rFonts w:eastAsia="Times New Roman" w:hint="default"/>
                <w:spacing w:val="1"/>
              </w:rPr>
              <w:fldChar w:fldCharType="end"/>
            </w:r>
            <w:r>
              <w:rPr>
                <w:rFonts w:ascii="宋体" w:hAnsi="宋体"/>
                <w:spacing w:val="1"/>
              </w:rPr>
              <w:t>）“政府采购严重违法失信行为</w:t>
            </w:r>
          </w:p>
        </w:tc>
      </w:tr>
      <w:tr>
        <w:tblPrEx>
          <w:tblW w:w="10018" w:type="dxa"/>
          <w:tblInd w:w="213" w:type="dxa"/>
          <w:tblLayout w:type="fixed"/>
          <w:tblCellMar>
            <w:top w:w="0" w:type="dxa"/>
            <w:left w:w="108" w:type="dxa"/>
            <w:bottom w:w="0" w:type="dxa"/>
            <w:right w:w="108" w:type="dxa"/>
          </w:tblCellMar>
        </w:tblPrEx>
        <w:trPr>
          <w:trHeight w:hRule="exact" w:val="687"/>
        </w:trPr>
        <w:tc>
          <w:tcPr>
            <w:tcW w:w="598" w:type="dxa"/>
            <w:vMerge w:val="restart"/>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jc w:val="both"/>
              <w:rPr>
                <w:rFonts w:hint="default"/>
              </w:rPr>
            </w:pPr>
            <w:r>
              <w:t>5.2</w:t>
            </w:r>
          </w:p>
        </w:tc>
        <w:tc>
          <w:tcPr>
            <w:tcW w:w="525" w:type="dxa"/>
            <w:vMerge w:val="restart"/>
            <w:tcBorders>
              <w:top w:val="single" w:sz="4" w:space="0" w:color="auto"/>
              <w:left w:val="single" w:sz="4" w:space="0" w:color="auto"/>
              <w:bottom w:val="single" w:sz="4" w:space="0" w:color="auto"/>
              <w:right w:val="single" w:sz="4" w:space="0" w:color="auto"/>
            </w:tcBorders>
            <w:vAlign w:val="center"/>
          </w:tcPr>
          <w:p>
            <w:pPr>
              <w:spacing w:line="240" w:lineRule="auto"/>
              <w:jc w:val="both"/>
              <w:rPr>
                <w:rFonts w:hint="default"/>
              </w:rPr>
            </w:pPr>
            <w:r>
              <w:t>符</w:t>
            </w:r>
          </w:p>
          <w:p>
            <w:pPr>
              <w:spacing w:line="240" w:lineRule="auto"/>
              <w:jc w:val="both"/>
              <w:rPr>
                <w:rFonts w:hint="default"/>
              </w:rPr>
            </w:pPr>
            <w:r>
              <w:t>合</w:t>
            </w:r>
          </w:p>
          <w:p>
            <w:pPr>
              <w:spacing w:line="240" w:lineRule="auto"/>
              <w:jc w:val="both"/>
              <w:rPr>
                <w:rFonts w:hint="default"/>
              </w:rPr>
            </w:pPr>
            <w:r>
              <w:t>性</w:t>
            </w:r>
          </w:p>
          <w:p>
            <w:pPr>
              <w:spacing w:line="240" w:lineRule="auto"/>
              <w:jc w:val="both"/>
              <w:rPr>
                <w:rFonts w:hint="default"/>
              </w:rPr>
            </w:pPr>
            <w:r>
              <w:t>审</w:t>
            </w:r>
          </w:p>
          <w:p>
            <w:pPr>
              <w:jc w:val="center"/>
              <w:rPr>
                <w:rFonts w:hint="default"/>
              </w:rPr>
            </w:pPr>
            <w:r>
              <w:t>查</w:t>
            </w:r>
          </w:p>
          <w:p>
            <w:pPr>
              <w:pStyle w:val="TableParagraph"/>
              <w:kinsoku w:val="0"/>
              <w:overflowPunct w:val="0"/>
              <w:spacing w:before="132"/>
              <w:ind w:left="99"/>
              <w:jc w:val="center"/>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vAlign w:val="center"/>
          </w:tcPr>
          <w:p>
            <w:pPr>
              <w:jc w:val="both"/>
              <w:rPr>
                <w:rFonts w:ascii="宋体" w:hAnsi="宋体" w:hint="default"/>
              </w:rPr>
            </w:pPr>
            <w:r>
              <w:t>供应商经营范围</w:t>
            </w:r>
          </w:p>
        </w:tc>
        <w:tc>
          <w:tcPr>
            <w:tcW w:w="6900" w:type="dxa"/>
            <w:tcBorders>
              <w:top w:val="single" w:sz="6" w:space="0" w:color="000000"/>
              <w:left w:val="single" w:sz="6" w:space="0" w:color="000000"/>
              <w:bottom w:val="single" w:sz="6" w:space="0" w:color="000000"/>
              <w:right w:val="single" w:sz="6" w:space="0" w:color="000000"/>
            </w:tcBorders>
            <w:vAlign w:val="center"/>
          </w:tcPr>
          <w:p>
            <w:pPr>
              <w:pStyle w:val="TableParagraph"/>
              <w:kinsoku w:val="0"/>
              <w:overflowPunct w:val="0"/>
              <w:jc w:val="both"/>
              <w:rPr>
                <w:rFonts w:ascii="宋体" w:hAnsi="宋体" w:hint="default"/>
                <w:spacing w:val="1"/>
              </w:rPr>
            </w:pPr>
            <w:r>
              <w:rPr>
                <w:rFonts w:ascii="宋体" w:hAnsi="宋体"/>
              </w:rPr>
              <w:t>符合项目采购要求</w:t>
            </w:r>
          </w:p>
        </w:tc>
      </w:tr>
      <w:tr>
        <w:tblPrEx>
          <w:tblW w:w="10018" w:type="dxa"/>
          <w:tblInd w:w="213" w:type="dxa"/>
          <w:tblLayout w:type="fixed"/>
          <w:tblCellMar>
            <w:top w:w="0" w:type="dxa"/>
            <w:left w:w="108" w:type="dxa"/>
            <w:bottom w:w="0" w:type="dxa"/>
            <w:right w:w="108" w:type="dxa"/>
          </w:tblCellMar>
        </w:tblPrEx>
        <w:trPr>
          <w:trHeight w:hRule="exact" w:val="1915"/>
        </w:trPr>
        <w:tc>
          <w:tcPr>
            <w:tcW w:w="598" w:type="dxa"/>
            <w:vMerge/>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ind w:left="99"/>
              <w:jc w:val="center"/>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ind w:left="99"/>
              <w:jc w:val="center"/>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vAlign w:val="center"/>
          </w:tcPr>
          <w:p>
            <w:pPr>
              <w:jc w:val="both"/>
              <w:rPr>
                <w:rFonts w:ascii="宋体" w:hAnsi="宋体" w:hint="default"/>
              </w:rPr>
            </w:pPr>
            <w:r>
              <w:t>签字及加盖公章</w:t>
            </w:r>
          </w:p>
        </w:tc>
        <w:tc>
          <w:tcPr>
            <w:tcW w:w="6900" w:type="dxa"/>
            <w:tcBorders>
              <w:top w:val="single" w:sz="6" w:space="0" w:color="000000"/>
              <w:left w:val="single" w:sz="6" w:space="0" w:color="000000"/>
              <w:bottom w:val="single" w:sz="6" w:space="0" w:color="000000"/>
              <w:right w:val="single" w:sz="6" w:space="0" w:color="000000"/>
            </w:tcBorders>
            <w:vAlign w:val="center"/>
          </w:tcPr>
          <w:p>
            <w:pPr>
              <w:pStyle w:val="TableParagraph"/>
              <w:kinsoku w:val="0"/>
              <w:overflowPunct w:val="0"/>
              <w:spacing w:before="6" w:line="230" w:lineRule="exact"/>
              <w:jc w:val="center"/>
              <w:rPr>
                <w:rFonts w:eastAsia="Times New Roman" w:hint="default"/>
                <w:sz w:val="23"/>
              </w:rPr>
            </w:pPr>
          </w:p>
          <w:p>
            <w:pPr>
              <w:pStyle w:val="TableParagraph"/>
              <w:kinsoku w:val="0"/>
              <w:overflowPunct w:val="0"/>
              <w:ind w:left="99"/>
              <w:jc w:val="center"/>
              <w:rPr>
                <w:rFonts w:ascii="宋体" w:hAnsi="宋体" w:hint="default"/>
                <w:spacing w:val="1"/>
              </w:rPr>
            </w:pPr>
            <w:r>
              <w:rPr>
                <w:rFonts w:ascii="宋体" w:hAnsi="宋体"/>
              </w:rPr>
              <w:t>按照招标文件格式签署</w:t>
            </w:r>
          </w:p>
        </w:tc>
      </w:tr>
      <w:tr>
        <w:tblPrEx>
          <w:tblW w:w="10018" w:type="dxa"/>
          <w:tblInd w:w="213" w:type="dxa"/>
          <w:tblLayout w:type="fixed"/>
          <w:tblCellMar>
            <w:top w:w="0" w:type="dxa"/>
            <w:left w:w="108" w:type="dxa"/>
            <w:bottom w:w="0" w:type="dxa"/>
            <w:right w:w="108" w:type="dxa"/>
          </w:tblCellMar>
        </w:tblPrEx>
        <w:trPr>
          <w:trHeight w:hRule="exact" w:val="1150"/>
        </w:trPr>
        <w:tc>
          <w:tcPr>
            <w:tcW w:w="598" w:type="dxa"/>
            <w:vMerge/>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ind w:left="99"/>
              <w:jc w:val="center"/>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ind w:left="99"/>
              <w:jc w:val="center"/>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vAlign w:val="center"/>
          </w:tcPr>
          <w:p>
            <w:pPr>
              <w:jc w:val="center"/>
              <w:rPr>
                <w:rFonts w:ascii="宋体" w:hAnsi="宋体" w:hint="default"/>
              </w:rPr>
            </w:pPr>
            <w:r>
              <w:t>响应文件格式</w:t>
            </w:r>
          </w:p>
        </w:tc>
        <w:tc>
          <w:tcPr>
            <w:tcW w:w="6900" w:type="dxa"/>
            <w:tcBorders>
              <w:top w:val="single" w:sz="6" w:space="0" w:color="000000"/>
              <w:left w:val="single" w:sz="6" w:space="0" w:color="000000"/>
              <w:bottom w:val="single" w:sz="6" w:space="0" w:color="000000"/>
              <w:right w:val="single" w:sz="6" w:space="0" w:color="000000"/>
            </w:tcBorders>
            <w:vAlign w:val="center"/>
          </w:tcPr>
          <w:p>
            <w:pPr>
              <w:pStyle w:val="TableParagraph"/>
              <w:kinsoku w:val="0"/>
              <w:overflowPunct w:val="0"/>
              <w:spacing w:before="2" w:line="440" w:lineRule="exact"/>
              <w:ind w:left="99" w:right="-21"/>
              <w:jc w:val="center"/>
              <w:rPr>
                <w:rFonts w:ascii="宋体" w:hAnsi="宋体" w:hint="default"/>
                <w:spacing w:val="1"/>
              </w:rPr>
            </w:pPr>
            <w:r>
              <w:rPr>
                <w:rFonts w:ascii="宋体" w:hAnsi="宋体"/>
              </w:rPr>
              <w:t>按第四章</w:t>
            </w:r>
            <w:r>
              <w:rPr>
                <w:rFonts w:eastAsia="Times New Roman" w:hint="default"/>
                <w:spacing w:val="-1"/>
              </w:rPr>
              <w:t>“</w:t>
            </w:r>
            <w:r>
              <w:rPr>
                <w:rFonts w:ascii="宋体" w:hAnsi="宋体"/>
              </w:rPr>
              <w:t>响应文件格式</w:t>
            </w:r>
            <w:r>
              <w:rPr>
                <w:rFonts w:eastAsia="Times New Roman" w:hint="default"/>
                <w:spacing w:val="-1"/>
              </w:rPr>
              <w:t>”</w:t>
            </w:r>
            <w:r>
              <w:rPr>
                <w:rFonts w:ascii="宋体" w:hAnsi="宋体"/>
              </w:rPr>
              <w:t>的要求填写</w:t>
            </w:r>
            <w:r>
              <w:rPr>
                <w:rFonts w:ascii="宋体" w:hAnsi="宋体"/>
                <w:spacing w:val="-51"/>
              </w:rPr>
              <w:t>，</w:t>
            </w:r>
            <w:r>
              <w:rPr>
                <w:rFonts w:ascii="宋体" w:hAnsi="宋体"/>
              </w:rPr>
              <w:t>内容齐全</w:t>
            </w:r>
            <w:r>
              <w:rPr>
                <w:rFonts w:ascii="宋体" w:hAnsi="宋体"/>
                <w:spacing w:val="-51"/>
              </w:rPr>
              <w:t>、</w:t>
            </w:r>
            <w:r>
              <w:rPr>
                <w:rFonts w:ascii="宋体" w:hAnsi="宋体"/>
              </w:rPr>
              <w:t>关键字迹清晰（可辨）的</w:t>
            </w:r>
          </w:p>
        </w:tc>
      </w:tr>
      <w:tr>
        <w:tblPrEx>
          <w:tblW w:w="10018" w:type="dxa"/>
          <w:tblInd w:w="213" w:type="dxa"/>
          <w:tblLayout w:type="fixed"/>
          <w:tblCellMar>
            <w:top w:w="0" w:type="dxa"/>
            <w:left w:w="108" w:type="dxa"/>
            <w:bottom w:w="0" w:type="dxa"/>
            <w:right w:w="108" w:type="dxa"/>
          </w:tblCellMar>
        </w:tblPrEx>
        <w:trPr>
          <w:trHeight w:hRule="exact" w:val="631"/>
        </w:trPr>
        <w:tc>
          <w:tcPr>
            <w:tcW w:w="598" w:type="dxa"/>
            <w:vMerge/>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ind w:left="99"/>
              <w:jc w:val="center"/>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ind w:left="99"/>
              <w:jc w:val="center"/>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vAlign w:val="center"/>
          </w:tcPr>
          <w:p>
            <w:pPr>
              <w:jc w:val="center"/>
              <w:rPr>
                <w:rFonts w:ascii="宋体" w:hAnsi="宋体" w:hint="default"/>
              </w:rPr>
            </w:pPr>
            <w:r>
              <w:t>报价</w:t>
            </w:r>
          </w:p>
        </w:tc>
        <w:tc>
          <w:tcPr>
            <w:tcW w:w="6900" w:type="dxa"/>
            <w:tcBorders>
              <w:top w:val="single" w:sz="6" w:space="0" w:color="000000"/>
              <w:left w:val="single" w:sz="6" w:space="0" w:color="000000"/>
              <w:bottom w:val="single" w:sz="6" w:space="0" w:color="000000"/>
              <w:right w:val="single" w:sz="6" w:space="0" w:color="000000"/>
            </w:tcBorders>
            <w:vAlign w:val="center"/>
          </w:tcPr>
          <w:p>
            <w:pPr>
              <w:pStyle w:val="TableParagraph"/>
              <w:kinsoku w:val="0"/>
              <w:overflowPunct w:val="0"/>
              <w:spacing w:before="77"/>
              <w:ind w:left="99"/>
              <w:jc w:val="center"/>
              <w:rPr>
                <w:rFonts w:ascii="宋体" w:hAnsi="宋体" w:hint="default"/>
                <w:spacing w:val="1"/>
              </w:rPr>
            </w:pPr>
            <w:r>
              <w:rPr>
                <w:rFonts w:ascii="宋体" w:hAnsi="宋体"/>
              </w:rPr>
              <w:t>完整且只有一个有效报价</w:t>
            </w:r>
          </w:p>
        </w:tc>
      </w:tr>
      <w:tr>
        <w:tblPrEx>
          <w:tblW w:w="10018" w:type="dxa"/>
          <w:tblInd w:w="213" w:type="dxa"/>
          <w:tblLayout w:type="fixed"/>
          <w:tblCellMar>
            <w:top w:w="0" w:type="dxa"/>
            <w:left w:w="108" w:type="dxa"/>
            <w:bottom w:w="0" w:type="dxa"/>
            <w:right w:w="108" w:type="dxa"/>
          </w:tblCellMar>
        </w:tblPrEx>
        <w:trPr>
          <w:trHeight w:hRule="exact" w:val="670"/>
        </w:trPr>
        <w:tc>
          <w:tcPr>
            <w:tcW w:w="598" w:type="dxa"/>
            <w:vMerge/>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ind w:left="99"/>
              <w:jc w:val="center"/>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ind w:left="99"/>
              <w:jc w:val="center"/>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vAlign w:val="center"/>
          </w:tcPr>
          <w:p>
            <w:pPr>
              <w:jc w:val="center"/>
              <w:rPr>
                <w:rFonts w:ascii="宋体" w:hAnsi="宋体" w:hint="default"/>
              </w:rPr>
            </w:pPr>
            <w:r>
              <w:t>投标有效期</w:t>
            </w:r>
          </w:p>
        </w:tc>
        <w:tc>
          <w:tcPr>
            <w:tcW w:w="6900" w:type="dxa"/>
            <w:tcBorders>
              <w:top w:val="single" w:sz="6" w:space="0" w:color="000000"/>
              <w:left w:val="single" w:sz="6" w:space="0" w:color="000000"/>
              <w:bottom w:val="single" w:sz="6" w:space="0" w:color="000000"/>
              <w:right w:val="single" w:sz="6" w:space="0" w:color="000000"/>
            </w:tcBorders>
            <w:vAlign w:val="center"/>
          </w:tcPr>
          <w:p>
            <w:pPr>
              <w:pStyle w:val="TableParagraph"/>
              <w:kinsoku w:val="0"/>
              <w:overflowPunct w:val="0"/>
              <w:spacing w:before="76"/>
              <w:ind w:left="99"/>
              <w:jc w:val="center"/>
              <w:rPr>
                <w:rFonts w:ascii="宋体" w:hAnsi="宋体" w:hint="default"/>
                <w:spacing w:val="1"/>
              </w:rPr>
            </w:pPr>
            <w:r>
              <w:rPr>
                <w:rFonts w:ascii="宋体" w:hAnsi="宋体"/>
                <w:spacing w:val="-1"/>
              </w:rPr>
              <w:t>符合第二章</w:t>
            </w:r>
            <w:r>
              <w:rPr>
                <w:rFonts w:eastAsia="Times New Roman" w:hint="default"/>
                <w:spacing w:val="-1"/>
              </w:rPr>
              <w:t>“</w:t>
            </w:r>
            <w:r>
              <w:rPr>
                <w:rFonts w:ascii="宋体" w:hAnsi="宋体"/>
                <w:spacing w:val="-1"/>
              </w:rPr>
              <w:t>供应商须知</w:t>
            </w:r>
            <w:r>
              <w:rPr>
                <w:rFonts w:eastAsia="Times New Roman" w:hint="default"/>
                <w:spacing w:val="-1"/>
              </w:rPr>
              <w:t>”</w:t>
            </w:r>
            <w:r>
              <w:rPr>
                <w:rFonts w:ascii="宋体" w:hAnsi="宋体"/>
              </w:rPr>
              <w:t>规定</w:t>
            </w:r>
          </w:p>
        </w:tc>
      </w:tr>
      <w:tr>
        <w:tblPrEx>
          <w:tblW w:w="10018" w:type="dxa"/>
          <w:tblInd w:w="213" w:type="dxa"/>
          <w:tblLayout w:type="fixed"/>
          <w:tblCellMar>
            <w:top w:w="0" w:type="dxa"/>
            <w:left w:w="108" w:type="dxa"/>
            <w:bottom w:w="0" w:type="dxa"/>
            <w:right w:w="108" w:type="dxa"/>
          </w:tblCellMar>
        </w:tblPrEx>
        <w:trPr>
          <w:trHeight w:hRule="exact" w:val="605"/>
        </w:trPr>
        <w:tc>
          <w:tcPr>
            <w:tcW w:w="598" w:type="dxa"/>
            <w:vMerge/>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ind w:left="99"/>
              <w:jc w:val="center"/>
              <w:rPr>
                <w:rFonts w:eastAsia="Times New Roman" w:hint="default"/>
              </w:rPr>
            </w:pPr>
          </w:p>
        </w:tc>
        <w:tc>
          <w:tcPr>
            <w:tcW w:w="525" w:type="dxa"/>
            <w:vMerge/>
            <w:tcBorders>
              <w:top w:val="single" w:sz="4" w:space="0" w:color="auto"/>
              <w:left w:val="single" w:sz="4" w:space="0" w:color="auto"/>
              <w:bottom w:val="single" w:sz="4" w:space="0" w:color="auto"/>
              <w:right w:val="single" w:sz="4" w:space="0" w:color="auto"/>
            </w:tcBorders>
            <w:vAlign w:val="center"/>
          </w:tcPr>
          <w:p>
            <w:pPr>
              <w:pStyle w:val="TableParagraph"/>
              <w:kinsoku w:val="0"/>
              <w:overflowPunct w:val="0"/>
              <w:spacing w:before="132"/>
              <w:ind w:left="99"/>
              <w:jc w:val="center"/>
              <w:rPr>
                <w:rFonts w:eastAsia="Times New Roman" w:hint="default"/>
              </w:rPr>
            </w:pPr>
          </w:p>
        </w:tc>
        <w:tc>
          <w:tcPr>
            <w:tcW w:w="1995" w:type="dxa"/>
            <w:tcBorders>
              <w:top w:val="single" w:sz="6" w:space="0" w:color="000000"/>
              <w:left w:val="single" w:sz="4" w:space="0" w:color="auto"/>
              <w:bottom w:val="single" w:sz="6" w:space="0" w:color="000000"/>
              <w:right w:val="single" w:sz="6" w:space="0" w:color="000000"/>
            </w:tcBorders>
            <w:vAlign w:val="center"/>
          </w:tcPr>
          <w:p>
            <w:pPr>
              <w:jc w:val="center"/>
              <w:rPr>
                <w:rFonts w:ascii="宋体" w:hAnsi="宋体" w:hint="default"/>
              </w:rPr>
            </w:pPr>
            <w:r>
              <w:t>实质性条件</w:t>
            </w:r>
          </w:p>
        </w:tc>
        <w:tc>
          <w:tcPr>
            <w:tcW w:w="6900" w:type="dxa"/>
            <w:tcBorders>
              <w:top w:val="single" w:sz="6" w:space="0" w:color="000000"/>
              <w:left w:val="single" w:sz="6" w:space="0" w:color="000000"/>
              <w:bottom w:val="single" w:sz="6" w:space="0" w:color="000000"/>
              <w:right w:val="single" w:sz="6" w:space="0" w:color="000000"/>
            </w:tcBorders>
            <w:vAlign w:val="center"/>
          </w:tcPr>
          <w:p>
            <w:pPr>
              <w:pStyle w:val="TableParagraph"/>
              <w:kinsoku w:val="0"/>
              <w:overflowPunct w:val="0"/>
              <w:spacing w:line="440" w:lineRule="exact"/>
              <w:ind w:left="99" w:right="-21"/>
              <w:jc w:val="center"/>
              <w:rPr>
                <w:rFonts w:ascii="宋体" w:hAnsi="宋体" w:hint="default"/>
                <w:spacing w:val="1"/>
              </w:rPr>
            </w:pPr>
            <w:r>
              <w:rPr>
                <w:rFonts w:ascii="宋体" w:hAnsi="宋体"/>
                <w:spacing w:val="4"/>
              </w:rPr>
              <w:t>响应文件未出现招标文件明确规定可废标的其他情</w:t>
            </w:r>
            <w:r>
              <w:rPr>
                <w:rFonts w:ascii="宋体" w:hAnsi="宋体"/>
              </w:rPr>
              <w:t>形</w:t>
            </w:r>
          </w:p>
        </w:tc>
      </w:tr>
    </w:tbl>
    <w:p>
      <w:pPr>
        <w:rPr>
          <w:rFonts w:hint="default"/>
          <w:vanish/>
        </w:rPr>
      </w:pPr>
    </w:p>
    <w:tbl>
      <w:tblPr>
        <w:tblStyle w:val="TableNormal"/>
        <w:tblpPr w:leftFromText="180" w:rightFromText="180" w:vertAnchor="text" w:horzAnchor="page" w:tblpX="1284" w:tblpY="541"/>
        <w:tblOverlap w:val="never"/>
        <w:tblW w:w="0" w:type="auto"/>
        <w:tblInd w:w="0" w:type="dxa"/>
        <w:tblLayout w:type="fixed"/>
        <w:tblCellMar>
          <w:top w:w="0" w:type="dxa"/>
          <w:left w:w="108" w:type="dxa"/>
          <w:bottom w:w="0" w:type="dxa"/>
          <w:right w:w="108" w:type="dxa"/>
        </w:tblCellMar>
      </w:tblPr>
      <w:tblGrid>
        <w:gridCol w:w="734"/>
        <w:gridCol w:w="857"/>
        <w:gridCol w:w="1352"/>
        <w:gridCol w:w="6521"/>
      </w:tblGrid>
      <w:tr>
        <w:tblPrEx>
          <w:tblW w:w="0" w:type="auto"/>
          <w:tblInd w:w="0" w:type="dxa"/>
          <w:tblLayout w:type="fixed"/>
          <w:tblCellMar>
            <w:top w:w="0" w:type="dxa"/>
            <w:left w:w="108" w:type="dxa"/>
            <w:bottom w:w="0" w:type="dxa"/>
            <w:right w:w="108" w:type="dxa"/>
          </w:tblCellMar>
        </w:tblPrEx>
        <w:trPr>
          <w:trHeight w:hRule="exact" w:val="457"/>
        </w:trPr>
        <w:tc>
          <w:tcPr>
            <w:tcW w:w="1591" w:type="dxa"/>
            <w:gridSpan w:val="2"/>
            <w:tcBorders>
              <w:top w:val="single" w:sz="6" w:space="0" w:color="000000"/>
              <w:left w:val="single" w:sz="6" w:space="0" w:color="000000"/>
              <w:bottom w:val="single" w:sz="6" w:space="0" w:color="000000"/>
              <w:right w:val="single" w:sz="6" w:space="0" w:color="000000"/>
            </w:tcBorders>
            <w:shd w:val="clear" w:color="auto" w:fill="D9D9D9"/>
          </w:tcPr>
          <w:p>
            <w:pPr>
              <w:pStyle w:val="TableParagraph"/>
              <w:kinsoku w:val="0"/>
              <w:overflowPunct w:val="0"/>
              <w:spacing w:before="77"/>
              <w:ind w:left="606"/>
              <w:rPr>
                <w:rFonts w:eastAsia="Times New Roman" w:hint="default"/>
              </w:rPr>
            </w:pPr>
            <w:r>
              <w:rPr>
                <w:rFonts w:ascii="宋体" w:hAnsi="宋体"/>
                <w:b/>
              </w:rPr>
              <w:t>条款号</w:t>
            </w:r>
          </w:p>
        </w:tc>
        <w:tc>
          <w:tcPr>
            <w:tcW w:w="1352" w:type="dxa"/>
            <w:tcBorders>
              <w:top w:val="single" w:sz="6" w:space="0" w:color="000000"/>
              <w:left w:val="single" w:sz="6" w:space="0" w:color="000000"/>
              <w:bottom w:val="single" w:sz="6" w:space="0" w:color="000000"/>
              <w:right w:val="single" w:sz="6" w:space="0" w:color="000000"/>
            </w:tcBorders>
            <w:shd w:val="clear" w:color="auto" w:fill="D9D9D9"/>
          </w:tcPr>
          <w:p>
            <w:pPr>
              <w:pStyle w:val="TableParagraph"/>
              <w:kinsoku w:val="0"/>
              <w:overflowPunct w:val="0"/>
              <w:spacing w:before="77"/>
              <w:rPr>
                <w:rFonts w:eastAsia="Times New Roman" w:hint="default"/>
              </w:rPr>
            </w:pPr>
            <w:r>
              <w:rPr>
                <w:rFonts w:ascii="宋体" w:hAnsi="宋体"/>
                <w:b/>
                <w:spacing w:val="2"/>
              </w:rPr>
              <w:t>条</w:t>
            </w:r>
            <w:r>
              <w:rPr>
                <w:rFonts w:ascii="宋体" w:hAnsi="宋体"/>
                <w:b/>
              </w:rPr>
              <w:t>款</w:t>
            </w:r>
            <w:r>
              <w:rPr>
                <w:rFonts w:ascii="宋体" w:hAnsi="宋体"/>
                <w:b/>
                <w:spacing w:val="2"/>
              </w:rPr>
              <w:t>内</w:t>
            </w:r>
            <w:r>
              <w:rPr>
                <w:rFonts w:ascii="宋体" w:hAnsi="宋体"/>
                <w:b/>
              </w:rPr>
              <w:t>容</w:t>
            </w:r>
          </w:p>
        </w:tc>
        <w:tc>
          <w:tcPr>
            <w:tcW w:w="6521" w:type="dxa"/>
            <w:tcBorders>
              <w:top w:val="single" w:sz="6" w:space="0" w:color="000000"/>
              <w:left w:val="single" w:sz="6" w:space="0" w:color="000000"/>
              <w:bottom w:val="single" w:sz="6" w:space="0" w:color="000000"/>
              <w:right w:val="single" w:sz="6" w:space="0" w:color="000000"/>
            </w:tcBorders>
            <w:shd w:val="clear" w:color="auto" w:fill="D9D9D9"/>
          </w:tcPr>
          <w:p>
            <w:pPr>
              <w:pStyle w:val="TableParagraph"/>
              <w:kinsoku w:val="0"/>
              <w:overflowPunct w:val="0"/>
              <w:spacing w:before="77"/>
              <w:ind w:left="2291" w:right="2291"/>
              <w:jc w:val="center"/>
              <w:rPr>
                <w:rFonts w:eastAsia="Times New Roman" w:hint="default"/>
              </w:rPr>
            </w:pPr>
            <w:r>
              <w:rPr>
                <w:rFonts w:ascii="宋体" w:hAnsi="宋体"/>
                <w:b/>
                <w:spacing w:val="2"/>
              </w:rPr>
              <w:t>编</w:t>
            </w:r>
            <w:r>
              <w:rPr>
                <w:rFonts w:ascii="宋体" w:hAnsi="宋体"/>
                <w:b/>
              </w:rPr>
              <w:t>列</w:t>
            </w:r>
            <w:r>
              <w:rPr>
                <w:rFonts w:ascii="宋体" w:hAnsi="宋体"/>
                <w:b/>
                <w:spacing w:val="2"/>
              </w:rPr>
              <w:t>内</w:t>
            </w:r>
            <w:r>
              <w:rPr>
                <w:rFonts w:ascii="宋体" w:hAnsi="宋体"/>
                <w:b/>
              </w:rPr>
              <w:t>容</w:t>
            </w:r>
          </w:p>
        </w:tc>
      </w:tr>
      <w:tr>
        <w:tblPrEx>
          <w:tblW w:w="0" w:type="auto"/>
          <w:tblInd w:w="0" w:type="dxa"/>
          <w:tblLayout w:type="fixed"/>
          <w:tblCellMar>
            <w:top w:w="0" w:type="dxa"/>
            <w:left w:w="108" w:type="dxa"/>
            <w:bottom w:w="0" w:type="dxa"/>
            <w:right w:w="108" w:type="dxa"/>
          </w:tblCellMar>
        </w:tblPrEx>
        <w:trPr>
          <w:trHeight w:hRule="exact" w:val="2338"/>
        </w:trPr>
        <w:tc>
          <w:tcPr>
            <w:tcW w:w="1591"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7" w:line="210" w:lineRule="exact"/>
              <w:rPr>
                <w:rFonts w:eastAsia="Times New Roman" w:hint="default"/>
                <w:sz w:val="21"/>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宋体" w:hint="default"/>
                <w:lang w:val="en-US" w:eastAsia="zh-CN"/>
              </w:rPr>
            </w:pPr>
          </w:p>
          <w:p>
            <w:pPr>
              <w:pStyle w:val="TableParagraph"/>
              <w:kinsoku w:val="0"/>
              <w:overflowPunct w:val="0"/>
              <w:spacing w:line="240" w:lineRule="exact"/>
              <w:rPr>
                <w:rFonts w:eastAsia="Times New Roman" w:hint="default"/>
              </w:rPr>
            </w:pPr>
          </w:p>
          <w:p>
            <w:pPr>
              <w:pStyle w:val="TableParagraph"/>
              <w:kinsoku w:val="0"/>
              <w:overflowPunct w:val="0"/>
              <w:ind w:right="799"/>
              <w:jc w:val="both"/>
              <w:rPr>
                <w:rFonts w:eastAsia="Times New Roman" w:hint="default"/>
              </w:rPr>
            </w:pPr>
            <w:r>
              <w:rPr>
                <w:rFonts w:eastAsia="Times New Roman" w:hint="default"/>
              </w:rPr>
              <w:t>6.1</w:t>
            </w:r>
          </w:p>
        </w:tc>
        <w:tc>
          <w:tcPr>
            <w:tcW w:w="1352" w:type="dxa"/>
            <w:vMerge w:val="restart"/>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340" w:lineRule="auto"/>
              <w:ind w:left="99"/>
              <w:rPr>
                <w:rFonts w:eastAsia="Times New Roman" w:hint="default"/>
              </w:rPr>
            </w:pPr>
            <w:r>
              <w:rPr>
                <w:rFonts w:ascii="宋体" w:hAnsi="宋体"/>
                <w:spacing w:val="28"/>
              </w:rPr>
              <w:t>分值构成（满</w:t>
            </w:r>
            <w:r>
              <w:rPr>
                <w:rFonts w:ascii="宋体" w:hAnsi="宋体"/>
              </w:rPr>
              <w:t>分</w:t>
            </w:r>
            <w:r>
              <w:rPr>
                <w:rFonts w:ascii="宋体" w:hAnsi="宋体"/>
                <w:spacing w:val="244"/>
              </w:rPr>
              <w:t xml:space="preserve"> </w:t>
            </w:r>
            <w:r>
              <w:rPr>
                <w:rFonts w:ascii="宋体" w:hAnsi="宋体"/>
              </w:rPr>
              <w:t>100</w:t>
            </w:r>
            <w:r>
              <w:rPr>
                <w:rFonts w:ascii="宋体" w:hAnsi="宋体"/>
                <w:spacing w:val="-60"/>
              </w:rPr>
              <w:t xml:space="preserve"> </w:t>
            </w:r>
            <w:r>
              <w:rPr>
                <w:rFonts w:ascii="宋体" w:hAnsi="宋体"/>
              </w:rPr>
              <w:t>分）</w:t>
            </w:r>
          </w:p>
        </w:tc>
        <w:tc>
          <w:tcPr>
            <w:tcW w:w="6521"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75" w:line="341" w:lineRule="auto"/>
              <w:ind w:left="99" w:right="711"/>
              <w:rPr>
                <w:rFonts w:hint="default"/>
              </w:rPr>
            </w:pPr>
            <w:r>
              <w:rPr>
                <w:rFonts w:ascii="宋体" w:hAnsi="宋体"/>
              </w:rPr>
              <w:t>投标人的评标总得分＝F1＋F2 其中：</w:t>
            </w:r>
          </w:p>
          <w:p>
            <w:pPr>
              <w:pStyle w:val="TableParagraph"/>
              <w:kinsoku w:val="0"/>
              <w:overflowPunct w:val="0"/>
              <w:spacing w:before="27" w:line="339" w:lineRule="auto"/>
              <w:ind w:left="99" w:right="-21"/>
              <w:rPr>
                <w:rFonts w:ascii="宋体" w:hAnsi="宋体" w:hint="default"/>
              </w:rPr>
            </w:pPr>
            <w:r>
              <w:rPr>
                <w:rFonts w:ascii="宋体" w:hAnsi="宋体"/>
              </w:rPr>
              <w:t>①F1、F2</w:t>
            </w:r>
            <w:r>
              <w:rPr>
                <w:rFonts w:ascii="宋体" w:hAnsi="宋体"/>
                <w:spacing w:val="-10"/>
              </w:rPr>
              <w:t xml:space="preserve"> </w:t>
            </w:r>
            <w:r>
              <w:rPr>
                <w:rFonts w:ascii="宋体" w:hAnsi="宋体"/>
              </w:rPr>
              <w:t>分别为报价部分、商务部分</w:t>
            </w:r>
            <w:r>
              <w:rPr>
                <w:rFonts w:ascii="宋体" w:hAnsi="宋体"/>
                <w:spacing w:val="-60"/>
              </w:rPr>
              <w:t>2</w:t>
            </w:r>
            <w:r>
              <w:rPr>
                <w:rFonts w:ascii="宋体" w:hAnsi="宋体"/>
              </w:rPr>
              <w:t>项评分因素的汇总得分；②A1、A2、</w:t>
            </w:r>
            <w:r>
              <w:rPr>
                <w:rFonts w:ascii="宋体" w:hAnsi="宋体"/>
                <w:spacing w:val="-43"/>
              </w:rPr>
              <w:t xml:space="preserve"> </w:t>
            </w:r>
            <w:r>
              <w:rPr>
                <w:rFonts w:ascii="宋体" w:hAnsi="宋体"/>
              </w:rPr>
              <w:t>分别为</w:t>
            </w:r>
            <w:r>
              <w:rPr>
                <w:rFonts w:ascii="宋体" w:hAnsi="宋体"/>
                <w:spacing w:val="-44"/>
              </w:rPr>
              <w:t xml:space="preserve"> </w:t>
            </w:r>
            <w:r>
              <w:rPr>
                <w:rFonts w:ascii="宋体" w:hAnsi="宋体"/>
              </w:rPr>
              <w:t>2</w:t>
            </w:r>
            <w:r>
              <w:rPr>
                <w:rFonts w:ascii="宋体" w:hAnsi="宋体"/>
                <w:spacing w:val="-44"/>
              </w:rPr>
              <w:t xml:space="preserve"> </w:t>
            </w:r>
            <w:r>
              <w:rPr>
                <w:rFonts w:ascii="宋体" w:hAnsi="宋体"/>
              </w:rPr>
              <w:t>项评分因素所占的权重（A1</w:t>
            </w:r>
          </w:p>
          <w:p>
            <w:pPr>
              <w:pStyle w:val="TableParagraph"/>
              <w:kinsoku w:val="0"/>
              <w:overflowPunct w:val="0"/>
              <w:spacing w:before="129"/>
              <w:ind w:left="99"/>
              <w:rPr>
                <w:rFonts w:eastAsia="Times New Roman" w:hint="default"/>
              </w:rPr>
            </w:pPr>
            <w:r>
              <w:rPr>
                <w:rFonts w:ascii="宋体" w:hAnsi="宋体"/>
              </w:rPr>
              <w:t>＋A2＝1）；</w:t>
            </w:r>
          </w:p>
        </w:tc>
      </w:tr>
      <w:tr>
        <w:tblPrEx>
          <w:tblW w:w="0" w:type="auto"/>
          <w:tblInd w:w="0" w:type="dxa"/>
          <w:tblLayout w:type="fixed"/>
          <w:tblCellMar>
            <w:top w:w="0" w:type="dxa"/>
            <w:left w:w="108" w:type="dxa"/>
            <w:bottom w:w="0" w:type="dxa"/>
            <w:right w:w="108" w:type="dxa"/>
          </w:tblCellMar>
        </w:tblPrEx>
        <w:trPr>
          <w:trHeight w:hRule="exact" w:val="1377"/>
        </w:trPr>
        <w:tc>
          <w:tcPr>
            <w:tcW w:w="1591" w:type="dxa"/>
            <w:gridSpan w:val="2"/>
            <w:vMerge/>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129"/>
              <w:ind w:left="99"/>
              <w:rPr>
                <w:rFonts w:eastAsia="Times New Roman" w:hint="default"/>
              </w:rPr>
            </w:pPr>
          </w:p>
        </w:tc>
        <w:tc>
          <w:tcPr>
            <w:tcW w:w="1352" w:type="dxa"/>
            <w:vMerge/>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129"/>
              <w:ind w:left="99"/>
              <w:rPr>
                <w:rFonts w:eastAsia="Times New Roman" w:hint="default"/>
              </w:rPr>
            </w:pPr>
          </w:p>
        </w:tc>
        <w:tc>
          <w:tcPr>
            <w:tcW w:w="6521"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2" w:line="440" w:lineRule="exact"/>
              <w:ind w:left="99" w:right="711"/>
              <w:rPr>
                <w:rFonts w:ascii="宋体" w:hAnsi="宋体" w:hint="default"/>
              </w:rPr>
            </w:pPr>
            <w:r>
              <w:rPr>
                <w:rFonts w:ascii="宋体" w:hAnsi="宋体"/>
              </w:rPr>
              <w:t>报价部分</w:t>
            </w:r>
            <w:r>
              <w:rPr>
                <w:rFonts w:ascii="宋体" w:hAnsi="宋体"/>
                <w:spacing w:val="-60"/>
              </w:rPr>
              <w:t xml:space="preserve"> </w:t>
            </w:r>
            <w:r>
              <w:rPr>
                <w:rFonts w:ascii="宋体" w:hAnsi="宋体"/>
              </w:rPr>
              <w:t>F1：</w:t>
            </w:r>
            <w:r>
              <w:rPr>
                <w:rFonts w:ascii="宋体" w:hAnsi="宋体" w:hint="eastAsia"/>
                <w:lang w:val="en-US" w:eastAsia="zh-CN"/>
              </w:rPr>
              <w:t>3</w:t>
            </w:r>
            <w:r>
              <w:rPr>
                <w:rFonts w:ascii="宋体" w:hAnsi="宋体"/>
              </w:rPr>
              <w:t>0分，权重</w:t>
            </w:r>
            <w:r>
              <w:rPr>
                <w:rFonts w:ascii="宋体" w:hAnsi="宋体"/>
                <w:spacing w:val="-60"/>
              </w:rPr>
              <w:t xml:space="preserve"> </w:t>
            </w:r>
            <w:r>
              <w:rPr>
                <w:rFonts w:ascii="宋体" w:hAnsi="宋体"/>
              </w:rPr>
              <w:t>A1</w:t>
            </w:r>
            <w:r>
              <w:rPr>
                <w:rFonts w:ascii="宋体" w:hAnsi="宋体"/>
                <w:spacing w:val="-60"/>
              </w:rPr>
              <w:t xml:space="preserve"> </w:t>
            </w:r>
            <w:r>
              <w:rPr>
                <w:rFonts w:ascii="宋体" w:hAnsi="宋体"/>
              </w:rPr>
              <w:t xml:space="preserve">为 </w:t>
            </w:r>
            <w:r>
              <w:rPr>
                <w:rFonts w:ascii="宋体" w:hAnsi="宋体" w:hint="eastAsia"/>
                <w:u w:val="single"/>
                <w:lang w:val="en-US" w:eastAsia="zh-CN"/>
              </w:rPr>
              <w:t>1</w:t>
            </w:r>
            <w:r>
              <w:rPr>
                <w:rFonts w:ascii="宋体" w:hAnsi="宋体"/>
                <w:u w:val="single"/>
              </w:rPr>
              <w:t xml:space="preserve"> </w:t>
            </w:r>
            <w:r>
              <w:rPr>
                <w:rFonts w:ascii="宋体" w:hAnsi="宋体"/>
              </w:rPr>
              <w:t xml:space="preserve">。 </w:t>
            </w:r>
          </w:p>
          <w:p>
            <w:pPr>
              <w:pStyle w:val="TableParagraph"/>
              <w:kinsoku w:val="0"/>
              <w:overflowPunct w:val="0"/>
              <w:spacing w:before="2" w:line="440" w:lineRule="exact"/>
              <w:ind w:right="711" w:firstLine="240" w:firstLineChars="100"/>
              <w:rPr>
                <w:rFonts w:eastAsia="Times New Roman" w:hint="default"/>
              </w:rPr>
            </w:pPr>
            <w:r>
              <w:rPr>
                <w:rFonts w:ascii="宋体" w:hAnsi="宋体"/>
                <w:spacing w:val="-20"/>
              </w:rPr>
              <w:t xml:space="preserve">商务部分 </w:t>
            </w:r>
            <w:r>
              <w:rPr>
                <w:rFonts w:ascii="宋体" w:hAnsi="宋体"/>
                <w:spacing w:val="-60"/>
              </w:rPr>
              <w:t xml:space="preserve"> </w:t>
            </w:r>
            <w:r>
              <w:rPr>
                <w:rFonts w:ascii="宋体" w:hAnsi="宋体"/>
              </w:rPr>
              <w:t>F2：</w:t>
            </w:r>
            <w:r>
              <w:rPr>
                <w:rFonts w:ascii="宋体" w:hAnsi="宋体" w:hint="eastAsia"/>
                <w:lang w:val="en-US" w:eastAsia="zh-CN"/>
              </w:rPr>
              <w:t>7</w:t>
            </w:r>
            <w:r>
              <w:rPr>
                <w:rFonts w:ascii="宋体" w:hAnsi="宋体"/>
              </w:rPr>
              <w:t>0分，权重</w:t>
            </w:r>
            <w:r>
              <w:rPr>
                <w:rFonts w:ascii="宋体" w:hAnsi="宋体"/>
                <w:spacing w:val="-60"/>
              </w:rPr>
              <w:t xml:space="preserve"> </w:t>
            </w:r>
            <w:r>
              <w:rPr>
                <w:rFonts w:ascii="宋体" w:hAnsi="宋体"/>
              </w:rPr>
              <w:t>A3</w:t>
            </w:r>
            <w:r>
              <w:rPr>
                <w:rFonts w:ascii="宋体" w:hAnsi="宋体"/>
                <w:spacing w:val="-60"/>
              </w:rPr>
              <w:t xml:space="preserve"> </w:t>
            </w:r>
            <w:r>
              <w:rPr>
                <w:rFonts w:ascii="宋体" w:hAnsi="宋体"/>
              </w:rPr>
              <w:t xml:space="preserve">为 </w:t>
            </w:r>
            <w:r>
              <w:rPr>
                <w:rFonts w:ascii="宋体" w:hAnsi="宋体" w:hint="eastAsia"/>
                <w:u w:val="single"/>
                <w:lang w:val="en-US" w:eastAsia="zh-CN"/>
              </w:rPr>
              <w:t>1</w:t>
            </w:r>
            <w:r>
              <w:rPr>
                <w:rFonts w:ascii="宋体" w:hAnsi="宋体"/>
                <w:u w:val="single"/>
              </w:rPr>
              <w:t xml:space="preserve"> </w:t>
            </w:r>
            <w:r>
              <w:rPr>
                <w:rFonts w:ascii="宋体" w:hAnsi="宋体"/>
              </w:rPr>
              <w:t>。</w:t>
            </w:r>
          </w:p>
        </w:tc>
      </w:tr>
      <w:tr>
        <w:tblPrEx>
          <w:tblW w:w="0" w:type="auto"/>
          <w:tblInd w:w="0" w:type="dxa"/>
          <w:tblLayout w:type="fixed"/>
          <w:tblCellMar>
            <w:top w:w="0" w:type="dxa"/>
            <w:left w:w="108" w:type="dxa"/>
            <w:bottom w:w="0" w:type="dxa"/>
            <w:right w:w="108" w:type="dxa"/>
          </w:tblCellMar>
        </w:tblPrEx>
        <w:trPr>
          <w:trHeight w:hRule="exact" w:val="2146"/>
        </w:trPr>
        <w:tc>
          <w:tcPr>
            <w:tcW w:w="1591" w:type="dxa"/>
            <w:gridSpan w:val="2"/>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before="6" w:line="340" w:lineRule="exact"/>
              <w:rPr>
                <w:rFonts w:eastAsia="Times New Roman" w:hint="default"/>
                <w:sz w:val="34"/>
              </w:rPr>
            </w:pPr>
          </w:p>
          <w:p>
            <w:pPr>
              <w:pStyle w:val="TableParagraph"/>
              <w:kinsoku w:val="0"/>
              <w:overflowPunct w:val="0"/>
              <w:ind w:right="799"/>
              <w:jc w:val="both"/>
              <w:rPr>
                <w:rFonts w:eastAsia="Times New Roman" w:hint="default"/>
              </w:rPr>
            </w:pPr>
            <w:r>
              <w:rPr>
                <w:rFonts w:eastAsia="Times New Roman" w:hint="default"/>
              </w:rPr>
              <w:t>6.2</w:t>
            </w:r>
          </w:p>
        </w:tc>
        <w:tc>
          <w:tcPr>
            <w:tcW w:w="1352"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line="440" w:lineRule="exact"/>
              <w:ind w:right="186"/>
              <w:rPr>
                <w:rFonts w:eastAsia="Times New Roman" w:hint="default"/>
              </w:rPr>
            </w:pPr>
            <w:r>
              <w:rPr>
                <w:rFonts w:ascii="宋体" w:hAnsi="宋体"/>
              </w:rPr>
              <w:t>评标基准价计算 方法</w:t>
            </w:r>
          </w:p>
        </w:tc>
        <w:tc>
          <w:tcPr>
            <w:tcW w:w="6521" w:type="dxa"/>
            <w:tcBorders>
              <w:top w:val="single" w:sz="6" w:space="0" w:color="000000"/>
              <w:left w:val="single" w:sz="6" w:space="0" w:color="000000"/>
              <w:bottom w:val="single" w:sz="6" w:space="0" w:color="000000"/>
              <w:right w:val="single" w:sz="6" w:space="0" w:color="000000"/>
            </w:tcBorders>
            <w:vAlign w:val="center"/>
          </w:tcPr>
          <w:p>
            <w:pPr>
              <w:pStyle w:val="BodyTextIndent3"/>
              <w:spacing w:after="0"/>
              <w:ind w:left="0" w:leftChars="0"/>
              <w:rPr>
                <w:rFonts w:ascii="宋体" w:hAnsi="宋体" w:hint="default"/>
                <w:sz w:val="24"/>
                <w:szCs w:val="20"/>
              </w:rPr>
            </w:pPr>
            <w:r>
              <w:rPr>
                <w:rFonts w:ascii="宋体" w:hAnsi="宋体"/>
                <w:sz w:val="24"/>
                <w:szCs w:val="20"/>
              </w:rPr>
              <w:t>经评委会一致认定满足招标文件要求且投标价格最低的投标报价为评标基准价，其价格得分计30分。其他投标人的价格得分统一按公式计算：</w:t>
            </w:r>
          </w:p>
          <w:p>
            <w:pPr>
              <w:rPr>
                <w:rFonts w:hint="default"/>
                <w:color w:val="000000"/>
                <w:szCs w:val="21"/>
              </w:rPr>
            </w:pPr>
            <w:r>
              <w:rPr>
                <w:color w:val="000000"/>
                <w:szCs w:val="21"/>
              </w:rPr>
              <w:t>报价得分＝评标基准价÷投标报价×投标报价权重×100</w:t>
            </w:r>
          </w:p>
          <w:p>
            <w:pPr>
              <w:pStyle w:val="TableParagraph"/>
              <w:kinsoku w:val="0"/>
              <w:overflowPunct w:val="0"/>
              <w:spacing w:line="440" w:lineRule="exact"/>
              <w:ind w:right="-21"/>
              <w:rPr>
                <w:rFonts w:eastAsia="Times New Roman" w:hint="default"/>
              </w:rPr>
            </w:pPr>
            <w:r>
              <w:t>本项目针对小型和微型企业产品的价格给予 6%的扣除，用扣除后的价格参与评审。</w:t>
            </w:r>
          </w:p>
        </w:tc>
      </w:tr>
      <w:tr>
        <w:tblPrEx>
          <w:tblW w:w="0" w:type="auto"/>
          <w:tblInd w:w="0" w:type="dxa"/>
          <w:tblLayout w:type="fixed"/>
          <w:tblCellMar>
            <w:top w:w="0" w:type="dxa"/>
            <w:left w:w="108" w:type="dxa"/>
            <w:bottom w:w="0" w:type="dxa"/>
            <w:right w:w="108" w:type="dxa"/>
          </w:tblCellMar>
        </w:tblPrEx>
        <w:trPr>
          <w:trHeight w:hRule="exact" w:val="443"/>
        </w:trPr>
        <w:tc>
          <w:tcPr>
            <w:tcW w:w="1591" w:type="dxa"/>
            <w:gridSpan w:val="2"/>
            <w:tcBorders>
              <w:top w:val="single" w:sz="6" w:space="0" w:color="000000"/>
              <w:left w:val="single" w:sz="6" w:space="0" w:color="000000"/>
              <w:bottom w:val="single" w:sz="6" w:space="0" w:color="000000"/>
              <w:right w:val="single" w:sz="6" w:space="0" w:color="000000"/>
            </w:tcBorders>
            <w:shd w:val="clear" w:color="auto" w:fill="D9D9D9"/>
          </w:tcPr>
          <w:p>
            <w:pPr>
              <w:pStyle w:val="TableParagraph"/>
              <w:kinsoku w:val="0"/>
              <w:overflowPunct w:val="0"/>
              <w:spacing w:before="77"/>
              <w:rPr>
                <w:rFonts w:eastAsia="Times New Roman" w:hint="default"/>
              </w:rPr>
            </w:pPr>
            <w:r>
              <w:rPr>
                <w:rFonts w:ascii="宋体" w:hAnsi="宋体"/>
                <w:b/>
              </w:rPr>
              <w:t>条款号</w:t>
            </w:r>
          </w:p>
        </w:tc>
        <w:tc>
          <w:tcPr>
            <w:tcW w:w="1352" w:type="dxa"/>
            <w:tcBorders>
              <w:top w:val="single" w:sz="6" w:space="0" w:color="000000"/>
              <w:left w:val="single" w:sz="6" w:space="0" w:color="000000"/>
              <w:bottom w:val="single" w:sz="6" w:space="0" w:color="000000"/>
              <w:right w:val="single" w:sz="6" w:space="0" w:color="000000"/>
            </w:tcBorders>
            <w:shd w:val="clear" w:color="auto" w:fill="D9D9D9"/>
          </w:tcPr>
          <w:p>
            <w:pPr>
              <w:pStyle w:val="TableParagraph"/>
              <w:kinsoku w:val="0"/>
              <w:overflowPunct w:val="0"/>
              <w:spacing w:before="77"/>
              <w:rPr>
                <w:rFonts w:eastAsia="Times New Roman" w:hint="default"/>
              </w:rPr>
            </w:pPr>
            <w:r>
              <w:rPr>
                <w:rFonts w:ascii="宋体" w:hAnsi="宋体"/>
                <w:b/>
                <w:spacing w:val="2"/>
              </w:rPr>
              <w:t>评</w:t>
            </w:r>
            <w:r>
              <w:rPr>
                <w:rFonts w:ascii="宋体" w:hAnsi="宋体"/>
                <w:b/>
              </w:rPr>
              <w:t>分</w:t>
            </w:r>
            <w:r>
              <w:rPr>
                <w:rFonts w:ascii="宋体" w:hAnsi="宋体"/>
                <w:b/>
                <w:spacing w:val="2"/>
              </w:rPr>
              <w:t>因</w:t>
            </w:r>
            <w:r>
              <w:rPr>
                <w:rFonts w:ascii="宋体" w:hAnsi="宋体"/>
                <w:b/>
              </w:rPr>
              <w:t>素</w:t>
            </w:r>
          </w:p>
        </w:tc>
        <w:tc>
          <w:tcPr>
            <w:tcW w:w="6521" w:type="dxa"/>
            <w:tcBorders>
              <w:top w:val="single" w:sz="6" w:space="0" w:color="000000"/>
              <w:left w:val="single" w:sz="6" w:space="0" w:color="000000"/>
              <w:bottom w:val="single" w:sz="6" w:space="0" w:color="000000"/>
              <w:right w:val="single" w:sz="6" w:space="0" w:color="000000"/>
            </w:tcBorders>
            <w:shd w:val="clear" w:color="auto" w:fill="D9D9D9"/>
          </w:tcPr>
          <w:p>
            <w:pPr>
              <w:pStyle w:val="TableParagraph"/>
              <w:kinsoku w:val="0"/>
              <w:overflowPunct w:val="0"/>
              <w:spacing w:before="77"/>
              <w:ind w:right="2291"/>
              <w:jc w:val="center"/>
              <w:rPr>
                <w:rFonts w:eastAsia="Times New Roman" w:hint="default"/>
              </w:rPr>
            </w:pPr>
            <w:r>
              <w:rPr>
                <w:rFonts w:ascii="宋体" w:hAnsi="宋体"/>
                <w:b/>
                <w:spacing w:val="2"/>
              </w:rPr>
              <w:t>评</w:t>
            </w:r>
            <w:r>
              <w:rPr>
                <w:rFonts w:ascii="宋体" w:hAnsi="宋体"/>
                <w:b/>
              </w:rPr>
              <w:t>分</w:t>
            </w:r>
            <w:r>
              <w:rPr>
                <w:rFonts w:ascii="宋体" w:hAnsi="宋体"/>
                <w:b/>
                <w:spacing w:val="2"/>
              </w:rPr>
              <w:t>标</w:t>
            </w:r>
            <w:r>
              <w:rPr>
                <w:rFonts w:ascii="宋体" w:hAnsi="宋体"/>
                <w:b/>
              </w:rPr>
              <w:t>准</w:t>
            </w:r>
          </w:p>
        </w:tc>
      </w:tr>
      <w:tr>
        <w:tblPrEx>
          <w:tblW w:w="0" w:type="auto"/>
          <w:tblInd w:w="0" w:type="dxa"/>
          <w:tblLayout w:type="fixed"/>
          <w:tblCellMar>
            <w:top w:w="0" w:type="dxa"/>
            <w:left w:w="108" w:type="dxa"/>
            <w:bottom w:w="0" w:type="dxa"/>
            <w:right w:w="108" w:type="dxa"/>
          </w:tblCellMar>
        </w:tblPrEx>
        <w:trPr>
          <w:trHeight w:val="2054"/>
        </w:trPr>
        <w:tc>
          <w:tcPr>
            <w:tcW w:w="734" w:type="dxa"/>
            <w:tcBorders>
              <w:top w:val="single" w:sz="6" w:space="0" w:color="000000"/>
              <w:left w:val="single" w:sz="6" w:space="0" w:color="000000"/>
              <w:bottom w:val="single" w:sz="6" w:space="0" w:color="000000"/>
              <w:right w:val="single" w:sz="6" w:space="0" w:color="000000"/>
            </w:tcBorders>
          </w:tcPr>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spacing w:line="240" w:lineRule="exact"/>
              <w:rPr>
                <w:rFonts w:eastAsia="Times New Roman" w:hint="default"/>
              </w:rPr>
            </w:pPr>
          </w:p>
          <w:p>
            <w:pPr>
              <w:pStyle w:val="TableParagraph"/>
              <w:kinsoku w:val="0"/>
              <w:overflowPunct w:val="0"/>
              <w:rPr>
                <w:rFonts w:eastAsia="Times New Roman" w:hint="default"/>
              </w:rPr>
            </w:pPr>
            <w:r>
              <w:rPr>
                <w:rFonts w:eastAsia="Times New Roman" w:hint="default"/>
              </w:rPr>
              <w:t>6.3</w:t>
            </w:r>
          </w:p>
        </w:tc>
        <w:tc>
          <w:tcPr>
            <w:tcW w:w="857" w:type="dxa"/>
            <w:tcBorders>
              <w:top w:val="single" w:sz="6" w:space="0" w:color="000000"/>
              <w:left w:val="single" w:sz="6" w:space="0" w:color="000000"/>
              <w:bottom w:val="single" w:sz="6" w:space="0" w:color="000000"/>
              <w:right w:val="single" w:sz="6" w:space="0" w:color="000000"/>
            </w:tcBorders>
            <w:vAlign w:val="center"/>
          </w:tcPr>
          <w:p>
            <w:pPr>
              <w:pStyle w:val="TableParagraph"/>
              <w:kinsoku w:val="0"/>
              <w:overflowPunct w:val="0"/>
              <w:spacing w:line="331" w:lineRule="auto"/>
              <w:ind w:right="81"/>
              <w:jc w:val="center"/>
              <w:rPr>
                <w:rFonts w:eastAsia="Times New Roman" w:hint="default"/>
              </w:rPr>
            </w:pPr>
            <w:r>
              <w:rPr>
                <w:rFonts w:ascii="宋体" w:hAnsi="宋体"/>
              </w:rPr>
              <w:t>投标报价</w:t>
            </w:r>
            <w:r>
              <w:rPr>
                <w:rFonts w:eastAsia="Times New Roman" w:hint="default"/>
              </w:rPr>
              <w:t xml:space="preserve"> </w:t>
            </w:r>
            <w:r>
              <w:rPr>
                <w:rFonts w:ascii="宋体" w:hAnsi="宋体"/>
              </w:rPr>
              <w:t>评分标准</w:t>
            </w:r>
          </w:p>
        </w:tc>
        <w:tc>
          <w:tcPr>
            <w:tcW w:w="1352" w:type="dxa"/>
            <w:tcBorders>
              <w:top w:val="single" w:sz="6" w:space="0" w:color="000000"/>
              <w:left w:val="single" w:sz="6" w:space="0" w:color="000000"/>
              <w:bottom w:val="single" w:sz="6" w:space="0" w:color="000000"/>
              <w:right w:val="single" w:sz="6" w:space="0" w:color="000000"/>
            </w:tcBorders>
            <w:vAlign w:val="center"/>
          </w:tcPr>
          <w:p>
            <w:pPr>
              <w:pStyle w:val="TableParagraph"/>
              <w:kinsoku w:val="0"/>
              <w:overflowPunct w:val="0"/>
              <w:spacing w:line="240" w:lineRule="exact"/>
              <w:jc w:val="center"/>
              <w:rPr>
                <w:rFonts w:eastAsia="Times New Roman" w:hint="default"/>
              </w:rPr>
            </w:pPr>
          </w:p>
          <w:p>
            <w:pPr>
              <w:pStyle w:val="TableParagraph"/>
              <w:kinsoku w:val="0"/>
              <w:overflowPunct w:val="0"/>
              <w:spacing w:line="341" w:lineRule="auto"/>
              <w:jc w:val="center"/>
              <w:rPr>
                <w:rFonts w:eastAsia="Times New Roman" w:hint="default"/>
              </w:rPr>
            </w:pPr>
            <w:r>
              <w:rPr>
                <w:rFonts w:ascii="宋体" w:hAnsi="宋体"/>
              </w:rPr>
              <w:t>投标报价评分计算公式（</w:t>
            </w:r>
            <w:r>
              <w:t>满分 30分</w:t>
            </w:r>
            <w:r>
              <w:rPr>
                <w:rFonts w:ascii="宋体" w:hAnsi="宋体"/>
              </w:rPr>
              <w:t>）</w:t>
            </w:r>
          </w:p>
        </w:tc>
        <w:tc>
          <w:tcPr>
            <w:tcW w:w="6521" w:type="dxa"/>
            <w:tcBorders>
              <w:top w:val="single" w:sz="6" w:space="0" w:color="000000"/>
              <w:left w:val="single" w:sz="6" w:space="0" w:color="000000"/>
              <w:bottom w:val="single" w:sz="6" w:space="0" w:color="000000"/>
              <w:right w:val="single" w:sz="6" w:space="0" w:color="000000"/>
            </w:tcBorders>
            <w:vAlign w:val="center"/>
          </w:tcPr>
          <w:p>
            <w:pPr>
              <w:pStyle w:val="TableParagraph"/>
              <w:kinsoku w:val="0"/>
              <w:overflowPunct w:val="0"/>
              <w:spacing w:before="33"/>
              <w:rPr>
                <w:rFonts w:ascii="宋体" w:hAnsi="宋体" w:hint="default"/>
                <w:color w:val="auto"/>
                <w:highlight w:val="none"/>
              </w:rPr>
            </w:pPr>
            <w:r>
              <w:rPr>
                <w:color w:val="auto"/>
                <w:highlight w:val="none"/>
              </w:rPr>
              <w:t>标报价得分=（评标基准价</w:t>
            </w:r>
            <w:r>
              <w:rPr>
                <w:rFonts w:ascii="宋体" w:hAnsi="宋体"/>
                <w:color w:val="auto"/>
                <w:highlight w:val="none"/>
              </w:rPr>
              <w:t>/</w:t>
            </w:r>
            <w:r>
              <w:rPr>
                <w:color w:val="auto"/>
                <w:highlight w:val="none"/>
              </w:rPr>
              <w:t>投标报价）</w:t>
            </w:r>
            <w:r>
              <w:rPr>
                <w:rFonts w:ascii="Arial" w:hAnsi="Arial" w:hint="default"/>
                <w:color w:val="auto"/>
                <w:highlight w:val="none"/>
              </w:rPr>
              <w:t>×</w:t>
            </w:r>
            <w:r>
              <w:rPr>
                <w:rFonts w:ascii="Arial" w:hAnsi="Arial"/>
                <w:color w:val="auto"/>
                <w:highlight w:val="none"/>
              </w:rPr>
              <w:t>30</w:t>
            </w:r>
            <w:r>
              <w:rPr>
                <w:rFonts w:ascii="宋体" w:hAnsi="宋体"/>
                <w:color w:val="auto"/>
                <w:highlight w:val="none"/>
              </w:rPr>
              <w:t>；</w:t>
            </w:r>
          </w:p>
          <w:p>
            <w:pPr>
              <w:pStyle w:val="TableParagraph"/>
              <w:kinsoku w:val="0"/>
              <w:overflowPunct w:val="0"/>
              <w:spacing w:before="33"/>
              <w:rPr>
                <w:rFonts w:eastAsia="Times New Roman" w:hint="default"/>
              </w:rPr>
            </w:pPr>
            <w:r>
              <w:rPr>
                <w:color w:val="auto"/>
                <w:highlight w:val="none"/>
              </w:rPr>
              <w:t>投标报价为有效的最低报价时，可得满分30分</w:t>
            </w:r>
            <w:r>
              <w:rPr>
                <w:highlight w:val="none"/>
              </w:rPr>
              <w:t>。</w:t>
            </w:r>
          </w:p>
        </w:tc>
      </w:tr>
      <w:tr>
        <w:tblPrEx>
          <w:tblW w:w="0" w:type="auto"/>
          <w:tblInd w:w="0" w:type="dxa"/>
          <w:tblLayout w:type="fixed"/>
          <w:tblCellMar>
            <w:top w:w="0" w:type="dxa"/>
            <w:left w:w="108" w:type="dxa"/>
            <w:bottom w:w="0" w:type="dxa"/>
            <w:right w:w="108" w:type="dxa"/>
          </w:tblCellMar>
        </w:tblPrEx>
        <w:trPr>
          <w:trHeight w:val="403"/>
        </w:trPr>
        <w:tc>
          <w:tcPr>
            <w:tcW w:w="9464" w:type="dxa"/>
            <w:gridSpan w:val="4"/>
            <w:tcBorders>
              <w:top w:val="single" w:sz="6" w:space="0" w:color="000000"/>
              <w:left w:val="single" w:sz="6" w:space="0" w:color="000000"/>
              <w:bottom w:val="single" w:sz="4" w:space="0" w:color="auto"/>
              <w:right w:val="single" w:sz="6" w:space="0" w:color="000000"/>
            </w:tcBorders>
          </w:tcPr>
          <w:p>
            <w:pPr>
              <w:pStyle w:val="PlainText"/>
              <w:snapToGrid w:val="0"/>
              <w:spacing w:before="156" w:beforeLines="50" w:line="360" w:lineRule="auto"/>
              <w:ind w:firstLine="480" w:firstLineChars="200"/>
              <w:rPr>
                <w:rFonts w:hint="default"/>
              </w:rPr>
            </w:pPr>
            <w:r>
              <w:rPr>
                <w:rFonts w:hAnsi="宋体"/>
                <w:b/>
                <w:bCs/>
                <w:color w:val="000000"/>
              </w:rPr>
              <w:t>投标人的投标报价有明显恶意低价竞标或者明显不合理报价（低于有效报价平均值90%的报价），有可能影响产品服务质量或不能诚信履约的，应当要求投标人在评标期间规定的期限内提供书面文件(包括成本分析和价格组成）予以解释说明，并提交相关证明材料。对于不能在评标期间规定期限内提交书面的证明材料的，评标委员会可以认同其投标报价为无效投标报价,报价分为0分。</w:t>
            </w:r>
          </w:p>
        </w:tc>
      </w:tr>
    </w:tbl>
    <w:p>
      <w:pPr>
        <w:snapToGrid w:val="0"/>
        <w:rPr>
          <w:rFonts w:ascii="宋体" w:hAnsi="宋体" w:hint="default"/>
          <w:szCs w:val="24"/>
        </w:rPr>
      </w:pPr>
    </w:p>
    <w:p>
      <w:pPr>
        <w:pStyle w:val="BodyText"/>
        <w:rPr>
          <w:rFonts w:hint="default"/>
        </w:rPr>
      </w:pPr>
    </w:p>
    <w:p>
      <w:pPr>
        <w:snapToGrid w:val="0"/>
        <w:rPr>
          <w:rFonts w:hint="default"/>
          <w:szCs w:val="24"/>
        </w:rPr>
      </w:pPr>
      <w:r>
        <w:rPr>
          <w:rFonts w:ascii="宋体" w:hAnsi="宋体"/>
          <w:szCs w:val="24"/>
        </w:rPr>
        <w:t>评分细则见下表：</w:t>
      </w:r>
    </w:p>
    <w:tbl>
      <w:tblPr>
        <w:tblStyle w:val="TableNormal"/>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97"/>
        <w:gridCol w:w="1170"/>
        <w:gridCol w:w="1329"/>
        <w:gridCol w:w="4221"/>
        <w:gridCol w:w="1860"/>
      </w:tblGrid>
      <w:tr>
        <w:tblPrEx>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2"/>
        </w:trPr>
        <w:tc>
          <w:tcPr>
            <w:tcW w:w="697" w:type="dxa"/>
            <w:vAlign w:val="center"/>
          </w:tcPr>
          <w:p>
            <w:pPr>
              <w:spacing w:line="280" w:lineRule="exact"/>
              <w:jc w:val="center"/>
              <w:rPr>
                <w:rFonts w:ascii="宋体" w:hAnsi="宋体" w:hint="default"/>
              </w:rPr>
            </w:pPr>
            <w:r>
              <w:rPr>
                <w:rFonts w:ascii="宋体" w:hAnsi="宋体"/>
              </w:rPr>
              <w:t>序号</w:t>
            </w:r>
          </w:p>
        </w:tc>
        <w:tc>
          <w:tcPr>
            <w:tcW w:w="2499" w:type="dxa"/>
            <w:gridSpan w:val="2"/>
            <w:vAlign w:val="center"/>
          </w:tcPr>
          <w:p>
            <w:pPr>
              <w:spacing w:line="280" w:lineRule="exact"/>
              <w:jc w:val="center"/>
              <w:rPr>
                <w:rFonts w:ascii="宋体" w:hAnsi="宋体" w:hint="default"/>
              </w:rPr>
            </w:pPr>
            <w:r>
              <w:rPr>
                <w:rFonts w:ascii="宋体" w:hAnsi="宋体"/>
              </w:rPr>
              <w:t>评分因素</w:t>
            </w:r>
          </w:p>
        </w:tc>
        <w:tc>
          <w:tcPr>
            <w:tcW w:w="4221" w:type="dxa"/>
            <w:vAlign w:val="center"/>
          </w:tcPr>
          <w:p>
            <w:pPr>
              <w:spacing w:line="280" w:lineRule="exact"/>
              <w:jc w:val="center"/>
              <w:rPr>
                <w:rFonts w:ascii="宋体" w:hAnsi="宋体" w:hint="default"/>
              </w:rPr>
            </w:pPr>
            <w:r>
              <w:rPr>
                <w:rFonts w:ascii="宋体" w:hAnsi="宋体"/>
              </w:rPr>
              <w:t>评分标准</w:t>
            </w:r>
          </w:p>
        </w:tc>
        <w:tc>
          <w:tcPr>
            <w:tcW w:w="1860" w:type="dxa"/>
            <w:vAlign w:val="center"/>
          </w:tcPr>
          <w:p>
            <w:pPr>
              <w:spacing w:line="280" w:lineRule="exact"/>
              <w:jc w:val="center"/>
              <w:rPr>
                <w:rFonts w:ascii="宋体" w:hAnsi="宋体" w:hint="default"/>
              </w:rPr>
            </w:pPr>
            <w:r>
              <w:rPr>
                <w:rFonts w:ascii="宋体" w:hAnsi="宋体"/>
              </w:rPr>
              <w:t>分值</w:t>
            </w:r>
          </w:p>
        </w:tc>
      </w:tr>
      <w:tr>
        <w:tblPrEx>
          <w:tblW w:w="0" w:type="auto"/>
          <w:tblInd w:w="135" w:type="dxa"/>
          <w:tblLayout w:type="fixed"/>
          <w:tblCellMar>
            <w:top w:w="0" w:type="dxa"/>
            <w:left w:w="108" w:type="dxa"/>
            <w:bottom w:w="0" w:type="dxa"/>
            <w:right w:w="108" w:type="dxa"/>
          </w:tblCellMar>
        </w:tblPrEx>
        <w:trPr>
          <w:trHeight w:val="22"/>
        </w:trPr>
        <w:tc>
          <w:tcPr>
            <w:tcW w:w="697" w:type="dxa"/>
            <w:vAlign w:val="center"/>
          </w:tcPr>
          <w:p>
            <w:pPr>
              <w:spacing w:line="280" w:lineRule="exact"/>
              <w:jc w:val="center"/>
              <w:rPr>
                <w:rFonts w:ascii="宋体" w:hAnsi="宋体" w:hint="default"/>
                <w:b/>
                <w:bCs/>
              </w:rPr>
            </w:pPr>
            <w:r>
              <w:rPr>
                <w:rFonts w:ascii="宋体" w:hAnsi="宋体"/>
                <w:b/>
                <w:bCs/>
              </w:rPr>
              <w:t>一</w:t>
            </w:r>
          </w:p>
        </w:tc>
        <w:tc>
          <w:tcPr>
            <w:tcW w:w="2499" w:type="dxa"/>
            <w:gridSpan w:val="2"/>
            <w:vAlign w:val="center"/>
          </w:tcPr>
          <w:p>
            <w:pPr>
              <w:spacing w:line="280" w:lineRule="exact"/>
              <w:jc w:val="center"/>
              <w:rPr>
                <w:rFonts w:ascii="宋体" w:hAnsi="宋体" w:hint="default"/>
                <w:b/>
                <w:bCs/>
              </w:rPr>
            </w:pPr>
            <w:r>
              <w:rPr>
                <w:rFonts w:ascii="宋体" w:hAnsi="宋体"/>
                <w:b/>
                <w:bCs/>
              </w:rPr>
              <w:t>价格(30分）</w:t>
            </w:r>
          </w:p>
        </w:tc>
        <w:tc>
          <w:tcPr>
            <w:tcW w:w="4221" w:type="dxa"/>
          </w:tcPr>
          <w:p>
            <w:pPr>
              <w:spacing w:line="280" w:lineRule="exact"/>
              <w:rPr>
                <w:rFonts w:ascii="宋体" w:hAnsi="宋体" w:hint="default"/>
              </w:rPr>
            </w:pPr>
            <w:r>
              <w:rPr>
                <w:rFonts w:ascii="宋体" w:hAnsi="宋体"/>
              </w:rPr>
              <w:t>报价超过采购预算的作无效处理，评委会一致认定低于成本的报价，作无效标处理，未通过资格审查和符合性审查的，作无效标处理。</w:t>
            </w:r>
          </w:p>
          <w:p>
            <w:pPr>
              <w:spacing w:line="280" w:lineRule="exact"/>
              <w:rPr>
                <w:rFonts w:ascii="宋体" w:hAnsi="宋体" w:hint="default"/>
              </w:rPr>
            </w:pPr>
            <w:r>
              <w:rPr>
                <w:rFonts w:ascii="宋体" w:hAnsi="宋体"/>
                <w:highlight w:val="none"/>
              </w:rPr>
              <w:t>有效报价的最低投标报价为基准价，投标报价得分＝（基准价／投标报价）ｘ30</w:t>
            </w:r>
          </w:p>
        </w:tc>
        <w:tc>
          <w:tcPr>
            <w:tcW w:w="1860" w:type="dxa"/>
            <w:vAlign w:val="center"/>
          </w:tcPr>
          <w:p>
            <w:pPr>
              <w:spacing w:line="280" w:lineRule="exact"/>
              <w:jc w:val="center"/>
              <w:rPr>
                <w:rFonts w:ascii="宋体" w:hAnsi="宋体" w:hint="default"/>
              </w:rPr>
            </w:pPr>
            <w:r>
              <w:rPr>
                <w:rFonts w:ascii="宋体" w:hAnsi="宋体"/>
                <w:b/>
                <w:bCs/>
              </w:rPr>
              <w:t>30</w:t>
            </w:r>
          </w:p>
        </w:tc>
      </w:tr>
      <w:tr>
        <w:tblPrEx>
          <w:tblW w:w="0" w:type="auto"/>
          <w:tblInd w:w="135" w:type="dxa"/>
          <w:tblLayout w:type="fixed"/>
          <w:tblCellMar>
            <w:top w:w="0" w:type="dxa"/>
            <w:left w:w="108" w:type="dxa"/>
            <w:bottom w:w="0" w:type="dxa"/>
            <w:right w:w="108" w:type="dxa"/>
          </w:tblCellMar>
        </w:tblPrEx>
        <w:trPr>
          <w:trHeight w:val="22"/>
        </w:trPr>
        <w:tc>
          <w:tcPr>
            <w:tcW w:w="697" w:type="dxa"/>
            <w:vMerge w:val="restart"/>
            <w:vAlign w:val="center"/>
          </w:tcPr>
          <w:p>
            <w:pPr>
              <w:spacing w:line="280" w:lineRule="exact"/>
              <w:jc w:val="center"/>
              <w:rPr>
                <w:rFonts w:ascii="宋体" w:hAnsi="宋体" w:hint="default"/>
              </w:rPr>
            </w:pPr>
            <w:r>
              <w:rPr>
                <w:rFonts w:ascii="宋体" w:hAnsi="宋体"/>
              </w:rPr>
              <w:t>二</w:t>
            </w:r>
          </w:p>
        </w:tc>
        <w:tc>
          <w:tcPr>
            <w:tcW w:w="1170" w:type="dxa"/>
            <w:vMerge w:val="restart"/>
            <w:vAlign w:val="center"/>
          </w:tcPr>
          <w:p>
            <w:pPr>
              <w:spacing w:line="280" w:lineRule="exact"/>
              <w:jc w:val="center"/>
              <w:rPr>
                <w:rFonts w:ascii="宋体" w:hAnsi="宋体" w:hint="default"/>
                <w:b/>
                <w:bCs/>
              </w:rPr>
            </w:pPr>
            <w:r>
              <w:rPr>
                <w:rFonts w:ascii="宋体" w:hAnsi="宋体"/>
                <w:b/>
                <w:bCs/>
              </w:rPr>
              <w:t>综合评审部分（70分）</w:t>
            </w:r>
          </w:p>
        </w:tc>
        <w:tc>
          <w:tcPr>
            <w:tcW w:w="1329" w:type="dxa"/>
            <w:vMerge w:val="restart"/>
            <w:vAlign w:val="center"/>
          </w:tcPr>
          <w:p>
            <w:pPr>
              <w:spacing w:line="280" w:lineRule="exact"/>
              <w:jc w:val="center"/>
              <w:rPr>
                <w:rFonts w:ascii="宋体" w:hAnsi="宋体" w:hint="default"/>
                <w:b/>
                <w:bCs/>
              </w:rPr>
            </w:pPr>
            <w:r>
              <w:rPr>
                <w:rFonts w:ascii="宋体" w:hAnsi="宋体"/>
              </w:rPr>
              <w:t>投标企业实力20</w:t>
            </w:r>
          </w:p>
        </w:tc>
        <w:tc>
          <w:tcPr>
            <w:tcW w:w="4221" w:type="dxa"/>
          </w:tcPr>
          <w:p>
            <w:pPr>
              <w:spacing w:line="280" w:lineRule="exact"/>
              <w:rPr>
                <w:rFonts w:ascii="宋体" w:hAnsi="宋体" w:hint="default"/>
                <w:b/>
                <w:bCs/>
              </w:rPr>
            </w:pPr>
            <w:r>
              <w:rPr>
                <w:rFonts w:ascii="宋体" w:hAnsi="宋体"/>
              </w:rPr>
              <w:t>根据投标人的社会信誉、履约信誉证明资料等进行比对在</w:t>
            </w:r>
            <w:r>
              <w:rPr>
                <w:rFonts w:ascii="宋体" w:hAnsi="宋体" w:hint="eastAsia"/>
                <w:lang w:val="en-US" w:eastAsia="zh-CN"/>
              </w:rPr>
              <w:t>0</w:t>
            </w:r>
            <w:r>
              <w:rPr>
                <w:rFonts w:ascii="宋体" w:hAnsi="宋体"/>
              </w:rPr>
              <w:t>～4分区间评审打分。投标人近年来获得“重合同守信用企业证书”“信用企业等级证书”荣誉的，每个计2分，本项满分4分。</w:t>
            </w:r>
            <w:r>
              <w:rPr>
                <w:rFonts w:ascii="宋体" w:hAnsi="宋体"/>
                <w:b/>
                <w:bCs/>
                <w:color w:val="000000"/>
              </w:rPr>
              <w:t>（响应文件中提供证件影印件或复印件，否则不予加分。）</w:t>
            </w:r>
          </w:p>
        </w:tc>
        <w:tc>
          <w:tcPr>
            <w:tcW w:w="1860" w:type="dxa"/>
            <w:vAlign w:val="center"/>
          </w:tcPr>
          <w:p>
            <w:pPr>
              <w:spacing w:line="280" w:lineRule="exact"/>
              <w:jc w:val="center"/>
              <w:rPr>
                <w:rFonts w:ascii="宋体" w:hAnsi="宋体" w:hint="default"/>
                <w:b/>
                <w:bCs/>
              </w:rPr>
            </w:pPr>
            <w:r>
              <w:rPr>
                <w:rFonts w:ascii="宋体" w:hAnsi="宋体"/>
                <w:b/>
                <w:bCs/>
              </w:rPr>
              <w:t>4</w:t>
            </w:r>
          </w:p>
        </w:tc>
      </w:tr>
      <w:tr>
        <w:tblPrEx>
          <w:tblW w:w="0" w:type="auto"/>
          <w:tblInd w:w="135" w:type="dxa"/>
          <w:tblLayout w:type="fixed"/>
          <w:tblCellMar>
            <w:top w:w="0" w:type="dxa"/>
            <w:left w:w="108" w:type="dxa"/>
            <w:bottom w:w="0" w:type="dxa"/>
            <w:right w:w="108" w:type="dxa"/>
          </w:tblCellMar>
        </w:tblPrEx>
        <w:trPr>
          <w:trHeight w:val="22"/>
        </w:trPr>
        <w:tc>
          <w:tcPr>
            <w:tcW w:w="697" w:type="dxa"/>
            <w:vMerge/>
            <w:vAlign w:val="center"/>
          </w:tcPr>
          <w:p>
            <w:pPr>
              <w:widowControl/>
              <w:rPr>
                <w:rFonts w:ascii="宋体" w:hAnsi="宋体" w:hint="default"/>
              </w:rPr>
            </w:pPr>
          </w:p>
        </w:tc>
        <w:tc>
          <w:tcPr>
            <w:tcW w:w="1170" w:type="dxa"/>
            <w:vMerge/>
            <w:vAlign w:val="center"/>
          </w:tcPr>
          <w:p>
            <w:pPr>
              <w:widowControl/>
              <w:rPr>
                <w:rFonts w:ascii="宋体" w:hAnsi="宋体" w:hint="default"/>
                <w:b/>
                <w:bCs/>
              </w:rPr>
            </w:pPr>
          </w:p>
        </w:tc>
        <w:tc>
          <w:tcPr>
            <w:tcW w:w="1329" w:type="dxa"/>
            <w:vMerge/>
            <w:vAlign w:val="center"/>
          </w:tcPr>
          <w:p>
            <w:pPr>
              <w:widowControl/>
              <w:rPr>
                <w:rFonts w:ascii="宋体" w:hAnsi="宋体" w:hint="default"/>
                <w:b/>
                <w:bCs/>
              </w:rPr>
            </w:pPr>
          </w:p>
        </w:tc>
        <w:tc>
          <w:tcPr>
            <w:tcW w:w="4221" w:type="dxa"/>
          </w:tcPr>
          <w:p>
            <w:pPr>
              <w:spacing w:line="280" w:lineRule="exact"/>
              <w:rPr>
                <w:rFonts w:ascii="宋体" w:hAnsi="宋体" w:hint="default"/>
              </w:rPr>
            </w:pPr>
            <w:r>
              <w:rPr>
                <w:rFonts w:ascii="宋体" w:hAnsi="宋体"/>
              </w:rPr>
              <w:t>根据投标人的认证情况进行比对在</w:t>
            </w:r>
            <w:r>
              <w:rPr>
                <w:rFonts w:ascii="宋体" w:hAnsi="宋体" w:hint="eastAsia"/>
                <w:lang w:val="en-US" w:eastAsia="zh-CN"/>
              </w:rPr>
              <w:t>0</w:t>
            </w:r>
            <w:r>
              <w:rPr>
                <w:rFonts w:ascii="宋体" w:hAnsi="宋体"/>
              </w:rPr>
              <w:t>～</w:t>
            </w:r>
            <w:r>
              <w:rPr>
                <w:rFonts w:ascii="宋体" w:hAnsi="宋体" w:hint="eastAsia"/>
                <w:lang w:val="en-US" w:eastAsia="zh-CN"/>
              </w:rPr>
              <w:t>6</w:t>
            </w:r>
            <w:r>
              <w:rPr>
                <w:rFonts w:ascii="宋体" w:hAnsi="宋体"/>
              </w:rPr>
              <w:t>分区间评审打分、</w:t>
            </w:r>
            <w:r>
              <w:rPr>
                <w:rFonts w:ascii="宋体" w:hAnsi="宋体"/>
                <w:color w:val="000000"/>
              </w:rPr>
              <w:t xml:space="preserve">投标人通过ISO系列质量管理体系认证、ISO 系列环境管理体系认证、职业健康安全管理体系认证、每提供1个计2分，计满6分为止。 </w:t>
            </w:r>
            <w:r>
              <w:rPr>
                <w:rFonts w:ascii="宋体" w:hAnsi="宋体"/>
                <w:b/>
                <w:bCs/>
                <w:color w:val="000000"/>
              </w:rPr>
              <w:t>（响应文件中提供证件影印件或复印件，并提供原件进行查验，否则不予加分。）</w:t>
            </w:r>
          </w:p>
        </w:tc>
        <w:tc>
          <w:tcPr>
            <w:tcW w:w="1860" w:type="dxa"/>
            <w:vAlign w:val="center"/>
          </w:tcPr>
          <w:p>
            <w:pPr>
              <w:spacing w:line="280" w:lineRule="exact"/>
              <w:jc w:val="center"/>
              <w:rPr>
                <w:rFonts w:ascii="宋体" w:hAnsi="宋体" w:hint="default"/>
              </w:rPr>
            </w:pPr>
            <w:r>
              <w:rPr>
                <w:rFonts w:ascii="宋体" w:hAnsi="宋体"/>
              </w:rPr>
              <w:t>6</w:t>
            </w:r>
          </w:p>
        </w:tc>
      </w:tr>
      <w:tr>
        <w:tblPrEx>
          <w:tblW w:w="0" w:type="auto"/>
          <w:tblInd w:w="135" w:type="dxa"/>
          <w:tblLayout w:type="fixed"/>
          <w:tblCellMar>
            <w:top w:w="0" w:type="dxa"/>
            <w:left w:w="108" w:type="dxa"/>
            <w:bottom w:w="0" w:type="dxa"/>
            <w:right w:w="108" w:type="dxa"/>
          </w:tblCellMar>
        </w:tblPrEx>
        <w:trPr>
          <w:trHeight w:val="22"/>
        </w:trPr>
        <w:tc>
          <w:tcPr>
            <w:tcW w:w="697" w:type="dxa"/>
            <w:vMerge/>
            <w:vAlign w:val="center"/>
          </w:tcPr>
          <w:p>
            <w:pPr>
              <w:widowControl/>
              <w:rPr>
                <w:rFonts w:ascii="宋体" w:hAnsi="宋体" w:hint="default"/>
              </w:rPr>
            </w:pPr>
          </w:p>
        </w:tc>
        <w:tc>
          <w:tcPr>
            <w:tcW w:w="1170" w:type="dxa"/>
            <w:vMerge/>
            <w:vAlign w:val="center"/>
          </w:tcPr>
          <w:p>
            <w:pPr>
              <w:widowControl/>
              <w:rPr>
                <w:rFonts w:ascii="宋体" w:hAnsi="宋体" w:hint="default"/>
                <w:b/>
                <w:bCs/>
              </w:rPr>
            </w:pPr>
          </w:p>
        </w:tc>
        <w:tc>
          <w:tcPr>
            <w:tcW w:w="1329" w:type="dxa"/>
            <w:vMerge/>
            <w:vAlign w:val="center"/>
          </w:tcPr>
          <w:p>
            <w:pPr>
              <w:widowControl/>
              <w:rPr>
                <w:rFonts w:ascii="宋体" w:hAnsi="宋体" w:hint="default"/>
                <w:b/>
                <w:bCs/>
              </w:rPr>
            </w:pPr>
          </w:p>
        </w:tc>
        <w:tc>
          <w:tcPr>
            <w:tcW w:w="4221" w:type="dxa"/>
          </w:tcPr>
          <w:p>
            <w:pPr>
              <w:spacing w:line="280" w:lineRule="exact"/>
              <w:rPr>
                <w:rFonts w:ascii="宋体" w:hAnsi="宋体" w:hint="default"/>
              </w:rPr>
            </w:pPr>
            <w:r>
              <w:rPr>
                <w:rFonts w:ascii="宋体" w:hAnsi="宋体"/>
              </w:rPr>
              <w:t>根据投标人供货保障实际情况进行比对在</w:t>
            </w:r>
            <w:r>
              <w:rPr>
                <w:rFonts w:ascii="宋体" w:hAnsi="宋体" w:hint="eastAsia"/>
                <w:lang w:val="en-US" w:eastAsia="zh-CN"/>
              </w:rPr>
              <w:t>1</w:t>
            </w:r>
            <w:r>
              <w:rPr>
                <w:rFonts w:ascii="宋体" w:hAnsi="宋体"/>
              </w:rPr>
              <w:t>～6分区间评审打分、投标人具有履行合同所必需的专业衣物和专业技术能力和场地等</w:t>
            </w:r>
            <w:r>
              <w:rPr>
                <w:rFonts w:ascii="宋体" w:hAnsi="宋体"/>
                <w:b/>
                <w:bCs/>
                <w:color w:val="000000"/>
              </w:rPr>
              <w:t>响应文件中提供相应证明材料影印件或复印件，否则不予加分。）</w:t>
            </w:r>
          </w:p>
        </w:tc>
        <w:tc>
          <w:tcPr>
            <w:tcW w:w="1860" w:type="dxa"/>
            <w:vAlign w:val="center"/>
          </w:tcPr>
          <w:p>
            <w:pPr>
              <w:spacing w:line="280" w:lineRule="exact"/>
              <w:jc w:val="center"/>
              <w:rPr>
                <w:rFonts w:ascii="宋体" w:hAnsi="宋体" w:hint="default"/>
              </w:rPr>
            </w:pPr>
            <w:r>
              <w:rPr>
                <w:rFonts w:ascii="宋体" w:hAnsi="宋体"/>
              </w:rPr>
              <w:t>6</w:t>
            </w:r>
          </w:p>
        </w:tc>
      </w:tr>
      <w:tr>
        <w:tblPrEx>
          <w:tblW w:w="0" w:type="auto"/>
          <w:tblInd w:w="135" w:type="dxa"/>
          <w:tblLayout w:type="fixed"/>
          <w:tblCellMar>
            <w:top w:w="0" w:type="dxa"/>
            <w:left w:w="108" w:type="dxa"/>
            <w:bottom w:w="0" w:type="dxa"/>
            <w:right w:w="108" w:type="dxa"/>
          </w:tblCellMar>
        </w:tblPrEx>
        <w:trPr>
          <w:trHeight w:val="22"/>
        </w:trPr>
        <w:tc>
          <w:tcPr>
            <w:tcW w:w="697" w:type="dxa"/>
            <w:vMerge/>
            <w:vAlign w:val="center"/>
          </w:tcPr>
          <w:p>
            <w:pPr>
              <w:widowControl/>
              <w:rPr>
                <w:rFonts w:ascii="宋体" w:hAnsi="宋体" w:hint="default"/>
              </w:rPr>
            </w:pPr>
          </w:p>
        </w:tc>
        <w:tc>
          <w:tcPr>
            <w:tcW w:w="1170" w:type="dxa"/>
            <w:vMerge/>
            <w:vAlign w:val="center"/>
          </w:tcPr>
          <w:p>
            <w:pPr>
              <w:widowControl/>
              <w:rPr>
                <w:rFonts w:ascii="宋体" w:hAnsi="宋体" w:hint="default"/>
                <w:b/>
                <w:bCs/>
              </w:rPr>
            </w:pPr>
          </w:p>
        </w:tc>
        <w:tc>
          <w:tcPr>
            <w:tcW w:w="1329" w:type="dxa"/>
            <w:vMerge/>
            <w:vAlign w:val="center"/>
          </w:tcPr>
          <w:p>
            <w:pPr>
              <w:widowControl/>
              <w:rPr>
                <w:rFonts w:ascii="宋体" w:hAnsi="宋体" w:hint="default"/>
                <w:b/>
                <w:bCs/>
              </w:rPr>
            </w:pPr>
          </w:p>
        </w:tc>
        <w:tc>
          <w:tcPr>
            <w:tcW w:w="4221" w:type="dxa"/>
          </w:tcPr>
          <w:p>
            <w:pPr>
              <w:spacing w:line="280" w:lineRule="exact"/>
              <w:rPr>
                <w:rFonts w:ascii="宋体" w:hAnsi="宋体" w:hint="default"/>
              </w:rPr>
            </w:pPr>
            <w:r>
              <w:rPr>
                <w:rFonts w:ascii="宋体" w:hAnsi="宋体"/>
              </w:rPr>
              <w:t>根据投标人的获得社会荣誉证明资料等进行比对在</w:t>
            </w:r>
            <w:r>
              <w:rPr>
                <w:rFonts w:ascii="宋体" w:hAnsi="宋体" w:hint="eastAsia"/>
                <w:lang w:val="en-US" w:eastAsia="zh-CN"/>
              </w:rPr>
              <w:t>0</w:t>
            </w:r>
            <w:r>
              <w:rPr>
                <w:rFonts w:ascii="宋体" w:hAnsi="宋体"/>
              </w:rPr>
              <w:t>～4分区间评审打分、投标人近年来获得行业主管部门或第三方机构颁发的荣誉证书</w:t>
            </w:r>
            <w:r>
              <w:rPr>
                <w:rFonts w:ascii="宋体" w:hAnsi="宋体"/>
                <w:color w:val="000000"/>
              </w:rPr>
              <w:t xml:space="preserve">每提供1个计1分，计满4分为止。 </w:t>
            </w:r>
            <w:r>
              <w:rPr>
                <w:rFonts w:ascii="宋体" w:hAnsi="宋体"/>
                <w:b/>
                <w:bCs/>
                <w:color w:val="000000"/>
              </w:rPr>
              <w:t>（响应文件中提供证件影印件或复印件，否则不予加分。）</w:t>
            </w:r>
          </w:p>
        </w:tc>
        <w:tc>
          <w:tcPr>
            <w:tcW w:w="1860" w:type="dxa"/>
            <w:vAlign w:val="center"/>
          </w:tcPr>
          <w:p>
            <w:pPr>
              <w:spacing w:line="280" w:lineRule="exact"/>
              <w:jc w:val="center"/>
              <w:rPr>
                <w:rFonts w:ascii="宋体" w:hAnsi="宋体" w:hint="default"/>
              </w:rPr>
            </w:pPr>
            <w:r>
              <w:rPr>
                <w:rFonts w:ascii="宋体" w:hAnsi="宋体"/>
              </w:rPr>
              <w:t xml:space="preserve">  4</w:t>
            </w:r>
          </w:p>
        </w:tc>
      </w:tr>
      <w:tr>
        <w:tblPrEx>
          <w:tblW w:w="0" w:type="auto"/>
          <w:tblInd w:w="135" w:type="dxa"/>
          <w:tblLayout w:type="fixed"/>
          <w:tblCellMar>
            <w:top w:w="0" w:type="dxa"/>
            <w:left w:w="108" w:type="dxa"/>
            <w:bottom w:w="0" w:type="dxa"/>
            <w:right w:w="108" w:type="dxa"/>
          </w:tblCellMar>
        </w:tblPrEx>
        <w:trPr>
          <w:trHeight w:val="1431"/>
        </w:trPr>
        <w:tc>
          <w:tcPr>
            <w:tcW w:w="697" w:type="dxa"/>
            <w:vMerge/>
            <w:vAlign w:val="center"/>
          </w:tcPr>
          <w:p>
            <w:pPr>
              <w:widowControl/>
              <w:rPr>
                <w:rFonts w:ascii="宋体" w:hAnsi="宋体" w:hint="default"/>
              </w:rPr>
            </w:pPr>
          </w:p>
        </w:tc>
        <w:tc>
          <w:tcPr>
            <w:tcW w:w="1170" w:type="dxa"/>
            <w:vMerge/>
            <w:vAlign w:val="center"/>
          </w:tcPr>
          <w:p>
            <w:pPr>
              <w:widowControl/>
              <w:rPr>
                <w:rFonts w:ascii="宋体" w:hAnsi="宋体" w:hint="default"/>
                <w:b/>
                <w:bCs/>
              </w:rPr>
            </w:pPr>
          </w:p>
        </w:tc>
        <w:tc>
          <w:tcPr>
            <w:tcW w:w="1329" w:type="dxa"/>
            <w:vAlign w:val="center"/>
          </w:tcPr>
          <w:p>
            <w:pPr>
              <w:spacing w:line="280" w:lineRule="exact"/>
              <w:jc w:val="center"/>
              <w:rPr>
                <w:rFonts w:ascii="宋体" w:hAnsi="宋体" w:hint="default"/>
              </w:rPr>
            </w:pPr>
            <w:r>
              <w:rPr>
                <w:rFonts w:ascii="宋体" w:hAnsi="宋体"/>
              </w:rPr>
              <w:t>供应商主要业绩6</w:t>
            </w:r>
          </w:p>
        </w:tc>
        <w:tc>
          <w:tcPr>
            <w:tcW w:w="4221" w:type="dxa"/>
            <w:vAlign w:val="center"/>
          </w:tcPr>
          <w:p>
            <w:pPr>
              <w:spacing w:line="280" w:lineRule="exact"/>
              <w:rPr>
                <w:rFonts w:ascii="宋体" w:hAnsi="宋体" w:hint="default"/>
              </w:rPr>
            </w:pPr>
            <w:r>
              <w:rPr>
                <w:rFonts w:ascii="宋体" w:hAnsi="宋体"/>
                <w:color w:val="000000"/>
              </w:rPr>
              <w:t>根据投标人的类似供货业绩情况在0～6分区间评审打分。</w:t>
            </w:r>
            <w:r>
              <w:rPr>
                <w:rFonts w:ascii="宋体" w:hAnsi="宋体"/>
              </w:rPr>
              <w:t>每提供一份完整业绩的得1分，满分6分。</w:t>
            </w:r>
            <w:r>
              <w:rPr>
                <w:rFonts w:ascii="宋体" w:hAnsi="宋体"/>
                <w:b/>
              </w:rPr>
              <w:t>注</w:t>
            </w:r>
            <w:r>
              <w:rPr>
                <w:rFonts w:ascii="宋体" w:hAnsi="宋体"/>
              </w:rPr>
              <w:t>：中标通知书复印件、采购合同文本复印件</w:t>
            </w:r>
          </w:p>
        </w:tc>
        <w:tc>
          <w:tcPr>
            <w:tcW w:w="1860" w:type="dxa"/>
            <w:vAlign w:val="center"/>
          </w:tcPr>
          <w:p>
            <w:pPr>
              <w:spacing w:line="280" w:lineRule="exact"/>
              <w:jc w:val="center"/>
              <w:rPr>
                <w:rFonts w:ascii="宋体" w:hAnsi="宋体" w:hint="default"/>
              </w:rPr>
            </w:pPr>
            <w:r>
              <w:rPr>
                <w:rFonts w:ascii="宋体" w:hAnsi="宋体"/>
              </w:rPr>
              <w:t>6</w:t>
            </w:r>
          </w:p>
        </w:tc>
      </w:tr>
      <w:tr>
        <w:tblPrEx>
          <w:tblW w:w="0" w:type="auto"/>
          <w:tblInd w:w="135" w:type="dxa"/>
          <w:tblLayout w:type="fixed"/>
          <w:tblCellMar>
            <w:top w:w="0" w:type="dxa"/>
            <w:left w:w="108" w:type="dxa"/>
            <w:bottom w:w="0" w:type="dxa"/>
            <w:right w:w="108" w:type="dxa"/>
          </w:tblCellMar>
        </w:tblPrEx>
        <w:trPr>
          <w:trHeight w:val="1431"/>
        </w:trPr>
        <w:tc>
          <w:tcPr>
            <w:tcW w:w="697" w:type="dxa"/>
            <w:vMerge/>
            <w:vAlign w:val="center"/>
          </w:tcPr>
          <w:p>
            <w:pPr>
              <w:widowControl/>
              <w:rPr>
                <w:rFonts w:ascii="宋体" w:hAnsi="宋体" w:hint="default"/>
              </w:rPr>
            </w:pPr>
          </w:p>
        </w:tc>
        <w:tc>
          <w:tcPr>
            <w:tcW w:w="1170" w:type="dxa"/>
            <w:vMerge/>
            <w:vAlign w:val="center"/>
          </w:tcPr>
          <w:p>
            <w:pPr>
              <w:widowControl/>
              <w:rPr>
                <w:rFonts w:ascii="宋体" w:hAnsi="宋体" w:hint="default"/>
                <w:b/>
                <w:bCs/>
              </w:rPr>
            </w:pPr>
          </w:p>
        </w:tc>
        <w:tc>
          <w:tcPr>
            <w:tcW w:w="1329" w:type="dxa"/>
            <w:vAlign w:val="center"/>
          </w:tcPr>
          <w:p>
            <w:pPr>
              <w:spacing w:line="280" w:lineRule="exact"/>
              <w:jc w:val="center"/>
              <w:rPr>
                <w:rFonts w:ascii="宋体" w:hAnsi="宋体" w:hint="default"/>
              </w:rPr>
            </w:pPr>
            <w:r>
              <w:rPr>
                <w:rFonts w:ascii="宋体" w:hAnsi="宋体"/>
              </w:rPr>
              <w:t>投标样品的响应度（现场样品打分）20</w:t>
            </w:r>
          </w:p>
        </w:tc>
        <w:tc>
          <w:tcPr>
            <w:tcW w:w="4221" w:type="dxa"/>
            <w:vAlign w:val="center"/>
          </w:tcPr>
          <w:p>
            <w:pPr>
              <w:spacing w:line="468" w:lineRule="exact"/>
              <w:rPr>
                <w:rFonts w:ascii="宋体" w:hAnsi="宋体" w:hint="default"/>
                <w:b/>
                <w:color w:val="000000"/>
                <w:szCs w:val="21"/>
              </w:rPr>
            </w:pPr>
            <w:r>
              <w:rPr>
                <w:rFonts w:ascii="宋体" w:hAnsi="宋体"/>
                <w:b/>
                <w:color w:val="000000"/>
                <w:szCs w:val="21"/>
              </w:rPr>
              <w:t>样品综合评审（</w:t>
            </w:r>
            <w:r>
              <w:rPr>
                <w:rFonts w:ascii="宋体" w:hAnsi="宋体" w:hint="eastAsia"/>
                <w:b/>
                <w:color w:val="000000"/>
                <w:szCs w:val="21"/>
                <w:lang w:val="en-US" w:eastAsia="zh-CN"/>
              </w:rPr>
              <w:t>2</w:t>
            </w:r>
            <w:r>
              <w:rPr>
                <w:rFonts w:ascii="宋体" w:hAnsi="宋体"/>
                <w:b/>
                <w:color w:val="000000"/>
                <w:szCs w:val="21"/>
              </w:rPr>
              <w:t>0）</w:t>
            </w:r>
          </w:p>
          <w:p>
            <w:pPr>
              <w:spacing w:line="468" w:lineRule="exact"/>
              <w:rPr>
                <w:rFonts w:ascii="宋体" w:hAnsi="宋体" w:hint="default"/>
              </w:rPr>
            </w:pPr>
            <w:r>
              <w:rPr>
                <w:rFonts w:ascii="宋体" w:hAnsi="宋体"/>
              </w:rPr>
              <w:t xml:space="preserve">第一个档次（20 分）提供样品质量与参数优于招标文件质量较好的； </w:t>
            </w:r>
          </w:p>
          <w:p>
            <w:pPr>
              <w:spacing w:line="468" w:lineRule="exact"/>
              <w:rPr>
                <w:rFonts w:ascii="宋体" w:hAnsi="宋体" w:hint="default"/>
              </w:rPr>
            </w:pPr>
            <w:r>
              <w:rPr>
                <w:rFonts w:ascii="宋体" w:hAnsi="宋体"/>
              </w:rPr>
              <w:t>第二个档次（10 分）：提供样品质量与参数满足招标文件质量一般的；</w:t>
            </w:r>
          </w:p>
          <w:p>
            <w:pPr>
              <w:spacing w:line="468" w:lineRule="exact"/>
              <w:rPr>
                <w:rFonts w:ascii="宋体" w:hAnsi="宋体" w:hint="default"/>
              </w:rPr>
            </w:pPr>
            <w:r>
              <w:rPr>
                <w:rFonts w:ascii="宋体" w:hAnsi="宋体"/>
              </w:rPr>
              <w:t>第三个档次（5 分）：提供样品品质量与参数不满足招标文件的质量较差的；</w:t>
            </w:r>
          </w:p>
          <w:p>
            <w:pPr>
              <w:spacing w:line="468" w:lineRule="exact"/>
              <w:rPr>
                <w:rFonts w:ascii="宋体" w:hAnsi="宋体" w:hint="default"/>
                <w:color w:val="000000"/>
                <w:szCs w:val="21"/>
              </w:rPr>
            </w:pPr>
            <w:r>
              <w:rPr>
                <w:rFonts w:ascii="宋体" w:hAnsi="宋体"/>
              </w:rPr>
              <w:t>第四个档次（0 分）：未提供样品的。</w:t>
            </w:r>
          </w:p>
        </w:tc>
        <w:tc>
          <w:tcPr>
            <w:tcW w:w="1860" w:type="dxa"/>
            <w:vAlign w:val="center"/>
          </w:tcPr>
          <w:p>
            <w:pPr>
              <w:spacing w:line="280" w:lineRule="exact"/>
              <w:jc w:val="center"/>
              <w:rPr>
                <w:rFonts w:ascii="宋体" w:hAnsi="宋体" w:hint="default"/>
              </w:rPr>
            </w:pPr>
            <w:r>
              <w:rPr>
                <w:rFonts w:ascii="宋体" w:hAnsi="宋体"/>
              </w:rPr>
              <w:t>20</w:t>
            </w:r>
          </w:p>
        </w:tc>
      </w:tr>
      <w:tr>
        <w:tblPrEx>
          <w:tblW w:w="0" w:type="auto"/>
          <w:tblInd w:w="135" w:type="dxa"/>
          <w:tblLayout w:type="fixed"/>
          <w:tblCellMar>
            <w:top w:w="0" w:type="dxa"/>
            <w:left w:w="108" w:type="dxa"/>
            <w:bottom w:w="0" w:type="dxa"/>
            <w:right w:w="108" w:type="dxa"/>
          </w:tblCellMar>
        </w:tblPrEx>
        <w:trPr>
          <w:trHeight w:val="373"/>
        </w:trPr>
        <w:tc>
          <w:tcPr>
            <w:tcW w:w="697" w:type="dxa"/>
            <w:vMerge/>
            <w:vAlign w:val="center"/>
          </w:tcPr>
          <w:p>
            <w:pPr>
              <w:widowControl/>
              <w:rPr>
                <w:rFonts w:ascii="宋体" w:hAnsi="宋体" w:hint="default"/>
              </w:rPr>
            </w:pPr>
          </w:p>
        </w:tc>
        <w:tc>
          <w:tcPr>
            <w:tcW w:w="1170" w:type="dxa"/>
            <w:vMerge/>
            <w:vAlign w:val="center"/>
          </w:tcPr>
          <w:p>
            <w:pPr>
              <w:widowControl/>
              <w:rPr>
                <w:rFonts w:ascii="宋体" w:hAnsi="宋体" w:hint="default"/>
                <w:b/>
                <w:bCs/>
              </w:rPr>
            </w:pPr>
          </w:p>
        </w:tc>
        <w:tc>
          <w:tcPr>
            <w:tcW w:w="1329" w:type="dxa"/>
            <w:vMerge w:val="restart"/>
            <w:vAlign w:val="center"/>
          </w:tcPr>
          <w:p>
            <w:pPr>
              <w:spacing w:line="280" w:lineRule="exact"/>
              <w:jc w:val="center"/>
              <w:rPr>
                <w:rFonts w:ascii="宋体" w:hAnsi="宋体" w:hint="default"/>
              </w:rPr>
            </w:pPr>
            <w:r>
              <w:rPr>
                <w:rFonts w:ascii="宋体" w:hAnsi="宋体"/>
              </w:rPr>
              <w:t>售后服务承诺及服务保障措施（18）</w:t>
            </w:r>
          </w:p>
        </w:tc>
        <w:tc>
          <w:tcPr>
            <w:tcW w:w="4221" w:type="dxa"/>
            <w:vAlign w:val="center"/>
          </w:tcPr>
          <w:p>
            <w:pPr>
              <w:spacing w:line="280" w:lineRule="exact"/>
              <w:rPr>
                <w:rFonts w:ascii="宋体" w:hAnsi="宋体" w:hint="default"/>
              </w:rPr>
            </w:pPr>
            <w:r>
              <w:rPr>
                <w:rFonts w:ascii="宋体" w:hAnsi="宋体"/>
              </w:rPr>
              <w:t>根据各投标人售后能力表现情况进行评分，依据行业主管部门或第三方认证机构出具的售后服务认证证书五星的6～8分，三星四星的3～5分，一星二星的1～2</w:t>
            </w:r>
          </w:p>
        </w:tc>
        <w:tc>
          <w:tcPr>
            <w:tcW w:w="1860" w:type="dxa"/>
            <w:vAlign w:val="center"/>
          </w:tcPr>
          <w:p>
            <w:pPr>
              <w:spacing w:line="280" w:lineRule="exact"/>
              <w:jc w:val="center"/>
              <w:rPr>
                <w:rFonts w:ascii="宋体" w:hAnsi="宋体" w:hint="default"/>
                <w:color w:val="000000"/>
              </w:rPr>
            </w:pPr>
            <w:r>
              <w:rPr>
                <w:rFonts w:ascii="宋体" w:hAnsi="宋体"/>
                <w:color w:val="000000"/>
              </w:rPr>
              <w:t>8</w:t>
            </w:r>
          </w:p>
        </w:tc>
      </w:tr>
      <w:tr>
        <w:tblPrEx>
          <w:tblW w:w="0" w:type="auto"/>
          <w:tblInd w:w="135" w:type="dxa"/>
          <w:tblLayout w:type="fixed"/>
          <w:tblCellMar>
            <w:top w:w="0" w:type="dxa"/>
            <w:left w:w="108" w:type="dxa"/>
            <w:bottom w:w="0" w:type="dxa"/>
            <w:right w:w="108" w:type="dxa"/>
          </w:tblCellMar>
        </w:tblPrEx>
        <w:trPr>
          <w:trHeight w:val="2156"/>
        </w:trPr>
        <w:tc>
          <w:tcPr>
            <w:tcW w:w="697" w:type="dxa"/>
            <w:vMerge/>
            <w:vAlign w:val="center"/>
          </w:tcPr>
          <w:p>
            <w:pPr>
              <w:widowControl/>
              <w:rPr>
                <w:rFonts w:ascii="宋体" w:hAnsi="宋体" w:hint="default"/>
              </w:rPr>
            </w:pPr>
          </w:p>
        </w:tc>
        <w:tc>
          <w:tcPr>
            <w:tcW w:w="1170" w:type="dxa"/>
            <w:vMerge/>
            <w:vAlign w:val="center"/>
          </w:tcPr>
          <w:p>
            <w:pPr>
              <w:widowControl/>
              <w:rPr>
                <w:rFonts w:ascii="宋体" w:hAnsi="宋体" w:hint="default"/>
                <w:b/>
                <w:bCs/>
              </w:rPr>
            </w:pPr>
          </w:p>
        </w:tc>
        <w:tc>
          <w:tcPr>
            <w:tcW w:w="1329" w:type="dxa"/>
            <w:vMerge/>
            <w:vAlign w:val="center"/>
          </w:tcPr>
          <w:p>
            <w:pPr>
              <w:widowControl/>
              <w:rPr>
                <w:rFonts w:ascii="宋体" w:hAnsi="宋体" w:hint="default"/>
              </w:rPr>
            </w:pPr>
          </w:p>
        </w:tc>
        <w:tc>
          <w:tcPr>
            <w:tcW w:w="4221" w:type="dxa"/>
            <w:vAlign w:val="center"/>
          </w:tcPr>
          <w:p>
            <w:pPr>
              <w:spacing w:line="280" w:lineRule="exact"/>
              <w:rPr>
                <w:rFonts w:ascii="宋体" w:hAnsi="宋体" w:hint="default"/>
              </w:rPr>
            </w:pPr>
            <w:r>
              <w:rPr>
                <w:rFonts w:ascii="宋体" w:hAnsi="宋体"/>
              </w:rPr>
              <w:t>根据各投标人在县内售后服务承诺（附证明材料）在0～10分区间评审打分。</w:t>
            </w:r>
          </w:p>
          <w:p>
            <w:pPr>
              <w:pStyle w:val="BodyText"/>
              <w:spacing w:line="468" w:lineRule="exact"/>
              <w:ind w:left="0"/>
              <w:rPr>
                <w:rFonts w:hint="default"/>
                <w:b/>
                <w:bCs/>
              </w:rPr>
            </w:pPr>
            <w:r>
              <w:rPr>
                <w:b/>
                <w:bCs/>
              </w:rPr>
              <w:t xml:space="preserve">注：1、如供应提供虚假材料的该项得0分。 </w:t>
            </w:r>
          </w:p>
          <w:p>
            <w:pPr>
              <w:pStyle w:val="BodyText"/>
              <w:ind w:left="0"/>
              <w:rPr>
                <w:rFonts w:ascii="Times New Roman" w:hAnsi="Times New Roman" w:hint="default"/>
              </w:rPr>
            </w:pPr>
            <w:r>
              <w:rPr>
                <w:b/>
                <w:bCs/>
              </w:rPr>
              <w:t>2、本项目投标人自行组织实地踏勘。</w:t>
            </w:r>
          </w:p>
        </w:tc>
        <w:tc>
          <w:tcPr>
            <w:tcW w:w="1860" w:type="dxa"/>
            <w:vAlign w:val="center"/>
          </w:tcPr>
          <w:p>
            <w:pPr>
              <w:spacing w:line="280" w:lineRule="exact"/>
              <w:jc w:val="center"/>
              <w:rPr>
                <w:rFonts w:ascii="宋体" w:hAnsi="宋体" w:hint="default"/>
                <w:color w:val="000000"/>
              </w:rPr>
            </w:pPr>
            <w:r>
              <w:rPr>
                <w:rFonts w:ascii="宋体" w:hAnsi="宋体"/>
                <w:color w:val="000000"/>
              </w:rPr>
              <w:t>10</w:t>
            </w:r>
          </w:p>
        </w:tc>
      </w:tr>
      <w:tr>
        <w:tblPrEx>
          <w:tblW w:w="0" w:type="auto"/>
          <w:tblInd w:w="135" w:type="dxa"/>
          <w:tblLayout w:type="fixed"/>
          <w:tblCellMar>
            <w:top w:w="0" w:type="dxa"/>
            <w:left w:w="108" w:type="dxa"/>
            <w:bottom w:w="0" w:type="dxa"/>
            <w:right w:w="108" w:type="dxa"/>
          </w:tblCellMar>
        </w:tblPrEx>
        <w:trPr>
          <w:trHeight w:val="909"/>
        </w:trPr>
        <w:tc>
          <w:tcPr>
            <w:tcW w:w="697" w:type="dxa"/>
            <w:vMerge/>
            <w:vAlign w:val="center"/>
          </w:tcPr>
          <w:p>
            <w:pPr>
              <w:widowControl/>
              <w:rPr>
                <w:rFonts w:ascii="宋体" w:hAnsi="宋体" w:hint="default"/>
              </w:rPr>
            </w:pPr>
          </w:p>
        </w:tc>
        <w:tc>
          <w:tcPr>
            <w:tcW w:w="1170" w:type="dxa"/>
            <w:vMerge/>
            <w:vAlign w:val="center"/>
          </w:tcPr>
          <w:p>
            <w:pPr>
              <w:widowControl/>
              <w:rPr>
                <w:rFonts w:ascii="宋体" w:hAnsi="宋体" w:hint="default"/>
                <w:b/>
                <w:bCs/>
              </w:rPr>
            </w:pPr>
          </w:p>
        </w:tc>
        <w:tc>
          <w:tcPr>
            <w:tcW w:w="1329" w:type="dxa"/>
            <w:vAlign w:val="center"/>
          </w:tcPr>
          <w:p>
            <w:pPr>
              <w:spacing w:line="280" w:lineRule="exact"/>
              <w:jc w:val="center"/>
              <w:rPr>
                <w:rFonts w:ascii="宋体" w:hAnsi="宋体" w:hint="default"/>
              </w:rPr>
            </w:pPr>
            <w:r>
              <w:rPr>
                <w:rFonts w:ascii="宋体" w:hAnsi="宋体"/>
              </w:rPr>
              <w:t>投标文件的制作和响应情况（6）</w:t>
            </w:r>
          </w:p>
        </w:tc>
        <w:tc>
          <w:tcPr>
            <w:tcW w:w="4221" w:type="dxa"/>
          </w:tcPr>
          <w:p>
            <w:pPr>
              <w:spacing w:line="280" w:lineRule="exact"/>
              <w:rPr>
                <w:rFonts w:ascii="宋体" w:hAnsi="宋体" w:hint="default"/>
              </w:rPr>
            </w:pPr>
            <w:r>
              <w:rPr>
                <w:rFonts w:ascii="宋体" w:hAnsi="宋体"/>
              </w:rPr>
              <w:t>根据投标文件制作规范程度及对招标文件的响应程度在</w:t>
            </w:r>
            <w:r>
              <w:t>0</w:t>
            </w:r>
            <w:r>
              <w:rPr>
                <w:rFonts w:ascii="宋体" w:hAnsi="宋体"/>
              </w:rPr>
              <w:t>～6分区间评审打分；投标文件不规范的得</w:t>
            </w:r>
            <w:r>
              <w:t xml:space="preserve">0 </w:t>
            </w:r>
            <w:r>
              <w:rPr>
                <w:rFonts w:ascii="宋体" w:hAnsi="宋体"/>
              </w:rPr>
              <w:t>分。</w:t>
            </w:r>
          </w:p>
        </w:tc>
        <w:tc>
          <w:tcPr>
            <w:tcW w:w="1860" w:type="dxa"/>
            <w:vAlign w:val="center"/>
          </w:tcPr>
          <w:p>
            <w:pPr>
              <w:spacing w:line="280" w:lineRule="exact"/>
              <w:jc w:val="center"/>
              <w:rPr>
                <w:rFonts w:ascii="宋体" w:hAnsi="宋体" w:hint="default"/>
                <w:color w:val="000000"/>
              </w:rPr>
            </w:pPr>
            <w:r>
              <w:rPr>
                <w:rFonts w:ascii="宋体" w:hAnsi="宋体"/>
                <w:color w:val="000000"/>
              </w:rPr>
              <w:t>6</w:t>
            </w:r>
          </w:p>
        </w:tc>
      </w:tr>
    </w:tbl>
    <w:p>
      <w:pPr>
        <w:pStyle w:val="BodyText"/>
        <w:kinsoku w:val="0"/>
        <w:overflowPunct w:val="0"/>
        <w:spacing w:line="324" w:lineRule="auto"/>
        <w:ind w:right="235" w:firstLine="480"/>
        <w:jc w:val="both"/>
        <w:rPr>
          <w:rFonts w:hint="default"/>
        </w:rPr>
      </w:pPr>
      <w:r>
        <w:t>根</w:t>
      </w:r>
      <w:r>
        <w:rPr>
          <w:spacing w:val="-17"/>
        </w:rPr>
        <w:t>据</w:t>
      </w:r>
      <w:r>
        <w:t>《中华人民共和国政府采购法</w:t>
      </w:r>
      <w:r>
        <w:rPr>
          <w:spacing w:val="-17"/>
        </w:rPr>
        <w:t>》</w:t>
      </w:r>
      <w:r>
        <w:rPr>
          <w:spacing w:val="-34"/>
        </w:rPr>
        <w:t>、</w:t>
      </w:r>
      <w:r>
        <w:t>《中华人民共和国招投标法</w:t>
      </w:r>
      <w:r>
        <w:rPr>
          <w:spacing w:val="-17"/>
        </w:rPr>
        <w:t>》</w:t>
      </w:r>
      <w:r>
        <w:rPr>
          <w:spacing w:val="-34"/>
        </w:rPr>
        <w:t>、</w:t>
      </w:r>
      <w:r>
        <w:t>《政府采购货</w:t>
      </w:r>
      <w:r>
        <w:rPr>
          <w:spacing w:val="-1"/>
        </w:rPr>
        <w:t>物和服务招投标管理办法【财政部令</w:t>
      </w:r>
      <w:r>
        <w:rPr>
          <w:spacing w:val="-59"/>
        </w:rPr>
        <w:t xml:space="preserve"> </w:t>
      </w:r>
      <w:r>
        <w:t>87</w:t>
      </w:r>
      <w:r>
        <w:rPr>
          <w:spacing w:val="-60"/>
        </w:rPr>
        <w:t xml:space="preserve"> </w:t>
      </w:r>
      <w:r>
        <w:rPr>
          <w:spacing w:val="-4"/>
        </w:rPr>
        <w:t>号】》</w:t>
      </w:r>
      <w:r>
        <w:rPr>
          <w:spacing w:val="-2"/>
        </w:rPr>
        <w:t>等有关规定等有</w:t>
      </w:r>
      <w:r>
        <w:t>关法律法规，结合本项目实际情况制定本办法。</w:t>
      </w:r>
    </w:p>
    <w:p>
      <w:pPr>
        <w:pStyle w:val="BodyText"/>
        <w:kinsoku w:val="0"/>
        <w:overflowPunct w:val="0"/>
        <w:spacing w:before="24" w:line="324" w:lineRule="auto"/>
        <w:ind w:right="237" w:firstLine="480"/>
        <w:jc w:val="both"/>
        <w:rPr>
          <w:rFonts w:hint="default"/>
        </w:rPr>
      </w:pPr>
      <w:r>
        <w:t>本次评标采用综合评分法</w:t>
      </w:r>
      <w:r>
        <w:rPr>
          <w:spacing w:val="-29"/>
        </w:rPr>
        <w:t>，</w:t>
      </w:r>
      <w:r>
        <w:t>是指在项目标</w:t>
      </w:r>
      <w:r>
        <w:rPr>
          <w:spacing w:val="-29"/>
        </w:rPr>
        <w:t>底</w:t>
      </w:r>
      <w:r>
        <w:rPr>
          <w:spacing w:val="-3"/>
        </w:rPr>
        <w:t>（</w:t>
      </w:r>
      <w:r>
        <w:t>或预算</w:t>
      </w:r>
      <w:r>
        <w:rPr>
          <w:spacing w:val="-29"/>
        </w:rPr>
        <w:t>）</w:t>
      </w:r>
      <w:r>
        <w:t>范围内</w:t>
      </w:r>
      <w:r>
        <w:rPr>
          <w:spacing w:val="-29"/>
        </w:rPr>
        <w:t>，</w:t>
      </w:r>
      <w:r>
        <w:t>最</w:t>
      </w:r>
      <w:r>
        <w:rPr>
          <w:spacing w:val="-3"/>
        </w:rPr>
        <w:t>大</w:t>
      </w:r>
      <w:r>
        <w:t>限度地满足招标文件实质性要求前提下</w:t>
      </w:r>
      <w:r>
        <w:rPr>
          <w:spacing w:val="-60"/>
        </w:rPr>
        <w:t>，</w:t>
      </w:r>
      <w:r>
        <w:t>按照招</w:t>
      </w:r>
      <w:r>
        <w:rPr>
          <w:spacing w:val="1"/>
        </w:rPr>
        <w:t>标</w:t>
      </w:r>
      <w:r>
        <w:t>文件中规定的各项因素进行综合评审后</w:t>
      </w:r>
      <w:r>
        <w:rPr>
          <w:spacing w:val="-60"/>
        </w:rPr>
        <w:t>，</w:t>
      </w:r>
      <w:r>
        <w:t>以评标总得分 最高的投标人作为中标候选供应商或者中标供应商的评标方法。</w:t>
      </w:r>
    </w:p>
    <w:p>
      <w:pPr>
        <w:pStyle w:val="BodyText"/>
        <w:kinsoku w:val="0"/>
        <w:overflowPunct w:val="0"/>
        <w:spacing w:before="25"/>
        <w:ind w:left="628"/>
        <w:rPr>
          <w:rFonts w:hint="default"/>
        </w:rPr>
      </w:pPr>
      <w:bookmarkStart w:id="34" w:name="_Toc15560"/>
      <w:r>
        <w:t>一、评标委员会</w:t>
      </w:r>
      <w:bookmarkEnd w:id="34"/>
    </w:p>
    <w:p>
      <w:pPr>
        <w:pStyle w:val="BodyText"/>
        <w:kinsoku w:val="0"/>
        <w:overflowPunct w:val="0"/>
        <w:spacing w:before="109" w:line="324" w:lineRule="auto"/>
        <w:ind w:right="234" w:firstLine="480"/>
        <w:jc w:val="both"/>
        <w:rPr>
          <w:rFonts w:hint="default"/>
        </w:rPr>
      </w:pPr>
      <w:r>
        <w:t>1.1</w:t>
      </w:r>
      <w:r>
        <w:rPr>
          <w:spacing w:val="-61"/>
        </w:rPr>
        <w:t xml:space="preserve"> </w:t>
      </w:r>
      <w:r>
        <w:rPr>
          <w:spacing w:val="-2"/>
        </w:rPr>
        <w:t>评标委员会由采购单位、有关技术、经济等方面的专家组成，成员人数应当为五人以上（含</w:t>
      </w:r>
      <w:r>
        <w:t>五人）单数，采用电子评标，主场四人，客场一人。</w:t>
      </w:r>
    </w:p>
    <w:p>
      <w:pPr>
        <w:pStyle w:val="BodyText"/>
        <w:kinsoku w:val="0"/>
        <w:overflowPunct w:val="0"/>
        <w:spacing w:before="25" w:line="324" w:lineRule="auto"/>
        <w:ind w:right="114" w:firstLine="480"/>
        <w:rPr>
          <w:rFonts w:hint="default"/>
        </w:rPr>
      </w:pPr>
      <w:r>
        <w:t>1.2</w:t>
      </w:r>
      <w:r>
        <w:rPr>
          <w:spacing w:val="-61"/>
        </w:rPr>
        <w:t xml:space="preserve"> </w:t>
      </w:r>
      <w:r>
        <w:t>招标采购单位就招标文件征询过意见的专家</w:t>
      </w:r>
      <w:r>
        <w:rPr>
          <w:spacing w:val="-29"/>
        </w:rPr>
        <w:t>，</w:t>
      </w:r>
      <w:r>
        <w:t>不得再作为评标专家参加评标</w:t>
      </w:r>
      <w:r>
        <w:rPr>
          <w:spacing w:val="-29"/>
        </w:rPr>
        <w:t>。</w:t>
      </w:r>
      <w:r>
        <w:t>评标专家应当熟悉政府采购</w:t>
      </w:r>
      <w:r>
        <w:rPr>
          <w:spacing w:val="-80"/>
        </w:rPr>
        <w:t>、</w:t>
      </w:r>
      <w:r>
        <w:t>招标投标的相关政策法规</w:t>
      </w:r>
      <w:r>
        <w:rPr>
          <w:spacing w:val="-80"/>
        </w:rPr>
        <w:t>，</w:t>
      </w:r>
      <w:r>
        <w:t>熟悉市场行情</w:t>
      </w:r>
      <w:r>
        <w:rPr>
          <w:spacing w:val="-80"/>
        </w:rPr>
        <w:t>，</w:t>
      </w:r>
      <w:r>
        <w:t>有良好的职业道德，遵守招标纪律，从事相关领域工作满八年并具有高级职称或者具有同等专业水平。</w:t>
      </w:r>
    </w:p>
    <w:p>
      <w:pPr>
        <w:pStyle w:val="Heading2"/>
        <w:tabs>
          <w:tab w:val="clear" w:pos="360"/>
          <w:tab w:val="left" w:pos="1021"/>
        </w:tabs>
        <w:kinsoku w:val="0"/>
        <w:overflowPunct w:val="0"/>
        <w:spacing w:before="155"/>
        <w:rPr>
          <w:rFonts w:hint="default"/>
          <w:b w:val="0"/>
          <w:sz w:val="32"/>
        </w:rPr>
      </w:pPr>
      <w:bookmarkStart w:id="35" w:name="_Toc28893"/>
      <w:r>
        <w:rPr>
          <w:spacing w:val="2"/>
          <w:sz w:val="32"/>
        </w:rPr>
        <w:t>二、评标原则</w:t>
      </w:r>
      <w:bookmarkEnd w:id="35"/>
    </w:p>
    <w:p>
      <w:pPr>
        <w:pStyle w:val="BodyText"/>
        <w:kinsoku w:val="0"/>
        <w:overflowPunct w:val="0"/>
        <w:ind w:left="628"/>
        <w:rPr>
          <w:rFonts w:hint="default"/>
        </w:rPr>
      </w:pPr>
      <w:r>
        <w:t>2.1</w:t>
      </w:r>
      <w:r>
        <w:rPr>
          <w:spacing w:val="-61"/>
        </w:rPr>
        <w:t xml:space="preserve"> </w:t>
      </w:r>
      <w:r>
        <w:t>评标遵循“公平、公正、科学、择优、保密”的原则。</w:t>
      </w:r>
    </w:p>
    <w:p>
      <w:pPr>
        <w:pStyle w:val="BodyText"/>
        <w:kinsoku w:val="0"/>
        <w:overflowPunct w:val="0"/>
        <w:spacing w:before="109"/>
        <w:ind w:left="628"/>
        <w:rPr>
          <w:rFonts w:hint="default"/>
          <w:spacing w:val="2"/>
        </w:rPr>
      </w:pPr>
      <w:r>
        <w:t>2.2</w:t>
      </w:r>
      <w:r>
        <w:rPr>
          <w:spacing w:val="2"/>
        </w:rPr>
        <w:t xml:space="preserve"> 只对有效投标文件进行评审，投标文件以外的资料信息不作为评标的依据和参</w:t>
      </w:r>
    </w:p>
    <w:p>
      <w:pPr>
        <w:pStyle w:val="BodyText"/>
        <w:kinsoku w:val="0"/>
        <w:overflowPunct w:val="0"/>
        <w:spacing w:before="109"/>
        <w:rPr>
          <w:rFonts w:hint="default"/>
        </w:rPr>
      </w:pPr>
      <w:r>
        <w:t>考。</w:t>
      </w:r>
    </w:p>
    <w:p>
      <w:pPr>
        <w:pStyle w:val="BodyText"/>
        <w:kinsoku w:val="0"/>
        <w:overflowPunct w:val="0"/>
        <w:spacing w:before="109"/>
        <w:ind w:left="628"/>
        <w:rPr>
          <w:rFonts w:hint="default"/>
        </w:rPr>
      </w:pPr>
      <w:r>
        <w:t>2.3</w:t>
      </w:r>
      <w:r>
        <w:rPr>
          <w:spacing w:val="-61"/>
        </w:rPr>
        <w:t xml:space="preserve"> </w:t>
      </w:r>
      <w:r>
        <w:t>询标只针对投标文件中的疑问和问题</w:t>
      </w:r>
      <w:r>
        <w:rPr>
          <w:spacing w:val="-60"/>
        </w:rPr>
        <w:t>，</w:t>
      </w:r>
      <w:r>
        <w:t>投标人澄清问题不允许超出要求的范围或</w:t>
      </w:r>
    </w:p>
    <w:p>
      <w:pPr>
        <w:pStyle w:val="BodyText"/>
        <w:kinsoku w:val="0"/>
        <w:overflowPunct w:val="0"/>
        <w:spacing w:before="109"/>
        <w:rPr>
          <w:rFonts w:hint="default"/>
        </w:rPr>
      </w:pPr>
      <w:r>
        <w:t>修改投标文件的实质性内容。</w:t>
      </w:r>
    </w:p>
    <w:p>
      <w:pPr>
        <w:pStyle w:val="BodyText"/>
        <w:kinsoku w:val="0"/>
        <w:overflowPunct w:val="0"/>
        <w:spacing w:before="110" w:line="324" w:lineRule="auto"/>
        <w:ind w:right="114" w:firstLine="480"/>
        <w:rPr>
          <w:rFonts w:hint="default"/>
        </w:rPr>
      </w:pPr>
      <w:r>
        <w:t>2.4</w:t>
      </w:r>
      <w:r>
        <w:rPr>
          <w:spacing w:val="-61"/>
        </w:rPr>
        <w:t xml:space="preserve"> </w:t>
      </w:r>
      <w:r>
        <w:t>评标委员会专家对所有投标文件一一进行独立审核和评价</w:t>
      </w:r>
      <w:r>
        <w:rPr>
          <w:spacing w:val="-60"/>
        </w:rPr>
        <w:t>，</w:t>
      </w:r>
      <w:r>
        <w:t>客观公正的对每个投 标文件进行独立打分。评标委员会和评标专家的职责按《中华人民共和国政府采购法》、</w:t>
      </w:r>
    </w:p>
    <w:p>
      <w:pPr>
        <w:pStyle w:val="BodyText"/>
        <w:kinsoku w:val="0"/>
        <w:overflowPunct w:val="0"/>
        <w:spacing w:before="25" w:line="324" w:lineRule="auto"/>
        <w:ind w:right="116"/>
        <w:rPr>
          <w:rFonts w:hint="default"/>
        </w:rPr>
      </w:pPr>
      <w:r>
        <w:t>《中华人民共和国招投标法</w:t>
      </w:r>
      <w:r>
        <w:rPr>
          <w:spacing w:val="-72"/>
        </w:rPr>
        <w:t>》</w:t>
      </w:r>
      <w:r>
        <w:rPr>
          <w:spacing w:val="-144"/>
        </w:rPr>
        <w:t>、</w:t>
      </w:r>
      <w:r>
        <w:t>《政府采购货物和服务招投标管理办</w:t>
      </w:r>
      <w:r>
        <w:rPr>
          <w:spacing w:val="-72"/>
        </w:rPr>
        <w:t>法</w:t>
      </w:r>
      <w:r>
        <w:t>【财政部令</w:t>
      </w:r>
      <w:r>
        <w:rPr>
          <w:spacing w:val="-58"/>
        </w:rPr>
        <w:t xml:space="preserve"> </w:t>
      </w:r>
      <w:r>
        <w:t>87</w:t>
      </w:r>
      <w:r>
        <w:rPr>
          <w:spacing w:val="-60"/>
        </w:rPr>
        <w:t xml:space="preserve"> </w:t>
      </w:r>
      <w:r>
        <w:t>号</w:t>
      </w:r>
      <w:r>
        <w:rPr>
          <w:spacing w:val="-72"/>
        </w:rPr>
        <w:t>】</w:t>
      </w:r>
      <w:r>
        <w:t>》 的要求执行。</w:t>
      </w:r>
    </w:p>
    <w:p>
      <w:pPr>
        <w:pStyle w:val="Heading2"/>
        <w:tabs>
          <w:tab w:val="clear" w:pos="360"/>
          <w:tab w:val="left" w:pos="1021"/>
        </w:tabs>
        <w:kinsoku w:val="0"/>
        <w:overflowPunct w:val="0"/>
        <w:spacing w:before="156"/>
        <w:rPr>
          <w:rFonts w:hint="default"/>
          <w:b w:val="0"/>
          <w:sz w:val="32"/>
        </w:rPr>
      </w:pPr>
      <w:bookmarkStart w:id="36" w:name="_Toc19233"/>
      <w:r>
        <w:rPr>
          <w:spacing w:val="2"/>
          <w:sz w:val="32"/>
        </w:rPr>
        <w:t>三、评标纪律</w:t>
      </w:r>
      <w:bookmarkEnd w:id="36"/>
    </w:p>
    <w:p>
      <w:pPr>
        <w:pStyle w:val="BodyText"/>
        <w:kinsoku w:val="0"/>
        <w:overflowPunct w:val="0"/>
        <w:spacing w:before="0"/>
        <w:ind w:left="628"/>
        <w:rPr>
          <w:rFonts w:hint="default"/>
        </w:rPr>
      </w:pPr>
      <w:r>
        <w:t>3.1</w:t>
      </w:r>
      <w:r>
        <w:rPr>
          <w:spacing w:val="-61"/>
        </w:rPr>
        <w:t xml:space="preserve"> </w:t>
      </w:r>
      <w:r>
        <w:t>评标委员会的成员应严格自律,自觉接受有关部门的监督。</w:t>
      </w:r>
    </w:p>
    <w:p>
      <w:pPr>
        <w:pStyle w:val="BodyText"/>
        <w:kinsoku w:val="0"/>
        <w:overflowPunct w:val="0"/>
        <w:spacing w:before="109"/>
        <w:ind w:left="628"/>
        <w:rPr>
          <w:rFonts w:hint="default"/>
        </w:rPr>
      </w:pPr>
      <w:r>
        <w:t>3.2</w:t>
      </w:r>
      <w:r>
        <w:rPr>
          <w:spacing w:val="-61"/>
        </w:rPr>
        <w:t xml:space="preserve"> </w:t>
      </w:r>
      <w:r>
        <w:t>评标过程中，评标委员会成员不得擅离职守，影响评标程序正常进行。</w:t>
      </w:r>
    </w:p>
    <w:p>
      <w:pPr>
        <w:pStyle w:val="BodyText"/>
        <w:kinsoku w:val="0"/>
        <w:overflowPunct w:val="0"/>
        <w:spacing w:before="109" w:line="324" w:lineRule="auto"/>
        <w:ind w:right="235" w:firstLine="480"/>
        <w:jc w:val="both"/>
        <w:rPr>
          <w:rFonts w:hint="default"/>
        </w:rPr>
      </w:pPr>
      <w:r>
        <w:t>3.3</w:t>
      </w:r>
      <w:r>
        <w:rPr>
          <w:spacing w:val="-61"/>
        </w:rPr>
        <w:t xml:space="preserve"> </w:t>
      </w:r>
      <w:r>
        <w:rPr>
          <w:spacing w:val="-2"/>
        </w:rPr>
        <w:t>评标委员会的成员不得与投标人、其他利害关系人私下接触，不得向投标人、其</w:t>
      </w:r>
      <w:r>
        <w:t>他利害关系人泄露对投标文件的评审</w:t>
      </w:r>
      <w:r>
        <w:rPr>
          <w:spacing w:val="-60"/>
        </w:rPr>
        <w:t>、</w:t>
      </w:r>
      <w:r>
        <w:t>比较</w:t>
      </w:r>
      <w:r>
        <w:rPr>
          <w:spacing w:val="-60"/>
        </w:rPr>
        <w:t>、</w:t>
      </w:r>
      <w:r>
        <w:t>中标候选人的推荐以及与评标有关的其它情况。</w:t>
      </w:r>
    </w:p>
    <w:p>
      <w:pPr>
        <w:pStyle w:val="BodyText"/>
        <w:kinsoku w:val="0"/>
        <w:overflowPunct w:val="0"/>
        <w:spacing w:before="24"/>
        <w:ind w:left="628"/>
        <w:rPr>
          <w:rFonts w:hint="default"/>
        </w:rPr>
      </w:pPr>
      <w:r>
        <w:t>3.4</w:t>
      </w:r>
      <w:r>
        <w:rPr>
          <w:spacing w:val="-61"/>
        </w:rPr>
        <w:t xml:space="preserve"> </w:t>
      </w:r>
      <w:r>
        <w:t>评标委员会如有需询问、澄清的问题由专职联络员负责联系负责转告。</w:t>
      </w:r>
    </w:p>
    <w:p>
      <w:pPr>
        <w:pStyle w:val="BodyText"/>
        <w:kinsoku w:val="0"/>
        <w:overflowPunct w:val="0"/>
        <w:spacing w:before="109" w:line="324" w:lineRule="auto"/>
        <w:ind w:right="114" w:firstLine="480"/>
        <w:rPr>
          <w:rFonts w:hint="default"/>
        </w:rPr>
      </w:pPr>
      <w:r>
        <w:t>3.5</w:t>
      </w:r>
      <w:r>
        <w:rPr>
          <w:spacing w:val="-61"/>
        </w:rPr>
        <w:t xml:space="preserve"> </w:t>
      </w:r>
      <w:r>
        <w:t>不允许任何人把投标文件及其汇总材料带出评标会</w:t>
      </w:r>
      <w:r>
        <w:rPr>
          <w:spacing w:val="-60"/>
        </w:rPr>
        <w:t>场</w:t>
      </w:r>
      <w:r>
        <w:t>（已经公开的价格等资料除 外），所有资料不得复制，完成评标后所有材料如数交还。</w:t>
      </w:r>
    </w:p>
    <w:p>
      <w:pPr>
        <w:pStyle w:val="BodyText"/>
        <w:kinsoku w:val="0"/>
        <w:overflowPunct w:val="0"/>
        <w:ind w:left="628"/>
        <w:rPr>
          <w:rFonts w:hint="default"/>
        </w:rPr>
      </w:pPr>
      <w:r>
        <w:t>3.6</w:t>
      </w:r>
      <w:r>
        <w:rPr>
          <w:spacing w:val="-61"/>
        </w:rPr>
        <w:t xml:space="preserve"> </w:t>
      </w:r>
      <w:r>
        <w:t>违反上述规定对评标造成不良影响的，后果由责任者承担。</w:t>
      </w:r>
    </w:p>
    <w:p>
      <w:pPr>
        <w:pStyle w:val="Heading2"/>
        <w:tabs>
          <w:tab w:val="clear" w:pos="360"/>
          <w:tab w:val="left" w:pos="1021"/>
        </w:tabs>
        <w:kinsoku w:val="0"/>
        <w:overflowPunct w:val="0"/>
        <w:rPr>
          <w:rFonts w:eastAsia="Times New Roman" w:hint="default"/>
          <w:sz w:val="34"/>
        </w:rPr>
      </w:pPr>
      <w:bookmarkStart w:id="37" w:name="_Toc12735"/>
      <w:r>
        <w:rPr>
          <w:spacing w:val="2"/>
          <w:sz w:val="32"/>
        </w:rPr>
        <w:t>四、评审依据</w:t>
      </w:r>
      <w:bookmarkEnd w:id="37"/>
    </w:p>
    <w:p>
      <w:pPr>
        <w:pStyle w:val="BodyText"/>
        <w:kinsoku w:val="0"/>
        <w:overflowPunct w:val="0"/>
        <w:spacing w:before="0"/>
        <w:ind w:left="628"/>
        <w:rPr>
          <w:rFonts w:hint="default"/>
        </w:rPr>
      </w:pPr>
      <w:r>
        <w:t>4.1</w:t>
      </w:r>
      <w:r>
        <w:rPr>
          <w:spacing w:val="-61"/>
        </w:rPr>
        <w:t xml:space="preserve"> </w:t>
      </w:r>
      <w:r>
        <w:t>投标货物的性能最大限度的满足招标文件要求。</w:t>
      </w:r>
    </w:p>
    <w:p>
      <w:pPr>
        <w:pStyle w:val="BodyText"/>
        <w:kinsoku w:val="0"/>
        <w:overflowPunct w:val="0"/>
        <w:spacing w:before="109"/>
        <w:ind w:left="628"/>
        <w:rPr>
          <w:rFonts w:hint="default"/>
        </w:rPr>
      </w:pPr>
      <w:r>
        <w:t>4.2</w:t>
      </w:r>
      <w:r>
        <w:rPr>
          <w:spacing w:val="-61"/>
        </w:rPr>
        <w:t xml:space="preserve"> </w:t>
      </w:r>
      <w:r>
        <w:t>综合评估最佳。</w:t>
      </w:r>
    </w:p>
    <w:p>
      <w:pPr>
        <w:pStyle w:val="BodyText"/>
        <w:kinsoku w:val="0"/>
        <w:overflowPunct w:val="0"/>
        <w:spacing w:before="109"/>
        <w:ind w:left="628"/>
        <w:rPr>
          <w:rFonts w:hint="default"/>
        </w:rPr>
      </w:pPr>
      <w:r>
        <w:t>4.3</w:t>
      </w:r>
      <w:r>
        <w:rPr>
          <w:spacing w:val="-61"/>
        </w:rPr>
        <w:t xml:space="preserve"> </w:t>
      </w:r>
      <w:r>
        <w:t>具有履行合同所必需的能力。</w:t>
      </w:r>
    </w:p>
    <w:p>
      <w:pPr>
        <w:pStyle w:val="BodyText"/>
        <w:kinsoku w:val="0"/>
        <w:overflowPunct w:val="0"/>
        <w:spacing w:before="109"/>
        <w:ind w:left="628"/>
        <w:rPr>
          <w:rFonts w:hint="default"/>
        </w:rPr>
      </w:pPr>
      <w:r>
        <w:t>4.4</w:t>
      </w:r>
      <w:r>
        <w:rPr>
          <w:spacing w:val="-61"/>
        </w:rPr>
        <w:t xml:space="preserve"> </w:t>
      </w:r>
      <w:r>
        <w:t>有售后服务能力并对售后服务做出了承诺。</w:t>
      </w:r>
    </w:p>
    <w:p>
      <w:pPr>
        <w:pStyle w:val="BodyText"/>
        <w:kinsoku w:val="0"/>
        <w:overflowPunct w:val="0"/>
        <w:spacing w:before="109"/>
        <w:ind w:left="628"/>
        <w:rPr>
          <w:rFonts w:eastAsia="Times New Roman" w:hint="default"/>
        </w:rPr>
      </w:pPr>
      <w:r>
        <w:t>4.5</w:t>
      </w:r>
      <w:r>
        <w:rPr>
          <w:spacing w:val="-61"/>
        </w:rPr>
        <w:t xml:space="preserve"> </w:t>
      </w:r>
      <w:r>
        <w:t>项目完成时间（交货期）保证。</w:t>
      </w:r>
    </w:p>
    <w:p>
      <w:pPr>
        <w:pStyle w:val="Heading2"/>
        <w:tabs>
          <w:tab w:val="clear" w:pos="360"/>
          <w:tab w:val="left" w:pos="1021"/>
        </w:tabs>
        <w:kinsoku w:val="0"/>
        <w:overflowPunct w:val="0"/>
        <w:rPr>
          <w:rFonts w:hint="default"/>
          <w:sz w:val="34"/>
        </w:rPr>
      </w:pPr>
      <w:bookmarkStart w:id="38" w:name="_Toc21202"/>
      <w:r>
        <w:rPr>
          <w:spacing w:val="2"/>
          <w:sz w:val="32"/>
        </w:rPr>
        <w:t>五、评标程序</w:t>
      </w:r>
      <w:bookmarkEnd w:id="38"/>
    </w:p>
    <w:p>
      <w:pPr>
        <w:pStyle w:val="BodyText"/>
        <w:kinsoku w:val="0"/>
        <w:overflowPunct w:val="0"/>
        <w:spacing w:before="0"/>
        <w:ind w:left="628"/>
        <w:rPr>
          <w:rFonts w:hint="default"/>
          <w:spacing w:val="-1"/>
        </w:rPr>
      </w:pPr>
      <w:r>
        <w:rPr>
          <w:spacing w:val="-1"/>
        </w:rPr>
        <w:t>评标按“两审一报告”程序进行。</w:t>
      </w:r>
    </w:p>
    <w:p>
      <w:pPr>
        <w:pStyle w:val="BodyText"/>
        <w:kinsoku w:val="0"/>
        <w:overflowPunct w:val="0"/>
        <w:spacing w:before="109"/>
        <w:ind w:left="628"/>
        <w:rPr>
          <w:rFonts w:hint="default"/>
        </w:rPr>
      </w:pPr>
      <w:r>
        <w:t>两审指投标文件初审和详细评审。一报告指评标报告。</w:t>
      </w:r>
    </w:p>
    <w:p>
      <w:pPr>
        <w:pStyle w:val="BodyText"/>
        <w:kinsoku w:val="0"/>
        <w:overflowPunct w:val="0"/>
        <w:spacing w:before="109"/>
        <w:ind w:left="628"/>
        <w:rPr>
          <w:rFonts w:hint="default"/>
        </w:rPr>
      </w:pPr>
      <w:r>
        <w:t>（一）投标文件初审。初审分为资格性审查和符合性审查。</w:t>
      </w:r>
    </w:p>
    <w:p>
      <w:pPr>
        <w:pStyle w:val="BodyText"/>
        <w:kinsoku w:val="0"/>
        <w:overflowPunct w:val="0"/>
        <w:spacing w:before="109" w:line="324" w:lineRule="auto"/>
        <w:ind w:right="231" w:firstLine="480"/>
        <w:jc w:val="both"/>
        <w:rPr>
          <w:rFonts w:hint="default"/>
        </w:rPr>
      </w:pPr>
      <w:r>
        <w:t>5.1</w:t>
      </w:r>
      <w:r>
        <w:rPr>
          <w:spacing w:val="-61"/>
        </w:rPr>
        <w:t xml:space="preserve"> </w:t>
      </w:r>
      <w:r>
        <w:rPr>
          <w:spacing w:val="-2"/>
        </w:rPr>
        <w:t>资格性审查：依据法律法规和招标文件的规定，对投标文件中的资格证明、投标</w:t>
      </w:r>
      <w:r>
        <w:rPr>
          <w:spacing w:val="20"/>
        </w:rPr>
        <w:t xml:space="preserve"> </w:t>
      </w:r>
      <w:r>
        <w:rPr>
          <w:spacing w:val="2"/>
        </w:rPr>
        <w:t>保证金等进行审查，以确定投标供应商是否具备投标资格，见“</w:t>
      </w:r>
      <w:r>
        <w:rPr>
          <w:b/>
          <w:spacing w:val="2"/>
        </w:rPr>
        <w:t>评标办法前附表</w:t>
      </w:r>
      <w:r>
        <w:rPr>
          <w:spacing w:val="2"/>
        </w:rPr>
        <w:t>”。未</w:t>
      </w:r>
      <w:r>
        <w:rPr>
          <w:spacing w:val="76"/>
        </w:rPr>
        <w:t xml:space="preserve"> </w:t>
      </w:r>
      <w:r>
        <w:t>按要求递交或递交不符合规定的，评标委员会将不予通过资格审查。</w:t>
      </w:r>
    </w:p>
    <w:p>
      <w:pPr>
        <w:pStyle w:val="BodyText"/>
        <w:kinsoku w:val="0"/>
        <w:overflowPunct w:val="0"/>
        <w:spacing w:before="25" w:line="324" w:lineRule="auto"/>
        <w:ind w:right="235" w:firstLine="480"/>
        <w:jc w:val="both"/>
        <w:rPr>
          <w:rFonts w:hint="default"/>
        </w:rPr>
      </w:pPr>
      <w:r>
        <w:t>5.2</w:t>
      </w:r>
      <w:r>
        <w:rPr>
          <w:spacing w:val="-61"/>
        </w:rPr>
        <w:t xml:space="preserve"> </w:t>
      </w:r>
      <w:r>
        <w:rPr>
          <w:spacing w:val="-2"/>
        </w:rPr>
        <w:t>符合性审查：依据招标文件的规定，从投标文件的有效性、完整性和对招标文件</w:t>
      </w:r>
      <w:r>
        <w:rPr>
          <w:spacing w:val="20"/>
        </w:rPr>
        <w:t xml:space="preserve"> </w:t>
      </w:r>
      <w:r>
        <w:t>的响应程度进行审查</w:t>
      </w:r>
      <w:r>
        <w:rPr>
          <w:spacing w:val="-60"/>
        </w:rPr>
        <w:t>，</w:t>
      </w:r>
      <w:r>
        <w:t>以确定是否对招标文件的实质性要求作出响应</w:t>
      </w:r>
      <w:r>
        <w:rPr>
          <w:spacing w:val="-60"/>
        </w:rPr>
        <w:t>；</w:t>
      </w:r>
      <w:r>
        <w:t>没有对招标文件要 求作出实质响应的投标将被拒绝</w:t>
      </w:r>
      <w:r>
        <w:rPr>
          <w:spacing w:val="-120"/>
        </w:rPr>
        <w:t>。</w:t>
      </w:r>
      <w:r>
        <w:t>投标人不得通过修正或撤销不合要求的偏离或保留从而 使其投标成为实质上响应的投标，见“</w:t>
      </w:r>
      <w:r>
        <w:rPr>
          <w:b/>
        </w:rPr>
        <w:t>评标办法前附表</w:t>
      </w:r>
      <w:r>
        <w:t>”。</w:t>
      </w:r>
    </w:p>
    <w:p>
      <w:pPr>
        <w:pStyle w:val="BodyText"/>
        <w:numPr>
          <w:ilvl w:val="0"/>
          <w:numId w:val="6"/>
        </w:numPr>
        <w:kinsoku w:val="0"/>
        <w:overflowPunct w:val="0"/>
        <w:spacing w:before="24" w:line="324" w:lineRule="auto"/>
        <w:ind w:left="628"/>
        <w:rPr>
          <w:rFonts w:hint="default"/>
        </w:rPr>
      </w:pPr>
      <w:r>
        <w:t xml:space="preserve">投标的澄清 </w:t>
      </w:r>
    </w:p>
    <w:p>
      <w:pPr>
        <w:pStyle w:val="BodyText"/>
        <w:kinsoku w:val="0"/>
        <w:overflowPunct w:val="0"/>
        <w:spacing w:before="24" w:line="324" w:lineRule="auto"/>
        <w:ind w:left="0" w:firstLine="720" w:firstLineChars="300"/>
        <w:rPr>
          <w:rFonts w:hint="default"/>
        </w:rPr>
      </w:pPr>
      <w:r>
        <w:rPr>
          <w:spacing w:val="2"/>
        </w:rPr>
        <w:t>1.对投标文件中含义不明确、同类问题表述不一致或者有明显文字和计算错误的内</w:t>
      </w:r>
      <w:r>
        <w:t>容</w:t>
      </w:r>
      <w:r>
        <w:rPr>
          <w:spacing w:val="-80"/>
        </w:rPr>
        <w:t>，</w:t>
      </w:r>
      <w:r>
        <w:t>评标委员会可以书面形</w:t>
      </w:r>
      <w:r>
        <w:rPr>
          <w:spacing w:val="-80"/>
        </w:rPr>
        <w:t>式</w:t>
      </w:r>
      <w:r>
        <w:t>（应当由评标委员会专家签字</w:t>
      </w:r>
      <w:r>
        <w:rPr>
          <w:spacing w:val="-80"/>
        </w:rPr>
        <w:t>）</w:t>
      </w:r>
      <w:r>
        <w:t>要求投标人作出必要的澄清、 说明或者纠正。</w:t>
      </w:r>
    </w:p>
    <w:p>
      <w:pPr>
        <w:pStyle w:val="BodyText"/>
        <w:kinsoku w:val="0"/>
        <w:overflowPunct w:val="0"/>
        <w:spacing w:before="25" w:line="324" w:lineRule="auto"/>
        <w:ind w:right="114" w:firstLine="480"/>
        <w:rPr>
          <w:rFonts w:hint="default"/>
        </w:rPr>
      </w:pPr>
      <w:r>
        <w:t>2.</w:t>
      </w:r>
      <w:r>
        <w:rPr>
          <w:spacing w:val="-1"/>
        </w:rPr>
        <w:t xml:space="preserve"> </w:t>
      </w:r>
      <w:r>
        <w:t>投标人的澄清、说明或者补正应当采用书面形式，由其法定代表人（或委托代理 人）签字，并将作为投标内容的一部分。</w:t>
      </w:r>
    </w:p>
    <w:p>
      <w:pPr>
        <w:pStyle w:val="BodyText"/>
        <w:kinsoku w:val="0"/>
        <w:overflowPunct w:val="0"/>
        <w:spacing w:before="25"/>
        <w:ind w:left="628"/>
        <w:rPr>
          <w:rFonts w:hint="default"/>
          <w:spacing w:val="2"/>
        </w:rPr>
      </w:pPr>
      <w:r>
        <w:rPr>
          <w:spacing w:val="2"/>
        </w:rPr>
        <w:t>3.投标人对投标文件的澄清不得超出投标文件的范围或者改变投标文件的实质性内</w:t>
      </w:r>
    </w:p>
    <w:p>
      <w:pPr>
        <w:pStyle w:val="BodyText"/>
        <w:kinsoku w:val="0"/>
        <w:overflowPunct w:val="0"/>
        <w:spacing w:before="109"/>
        <w:rPr>
          <w:rFonts w:hint="default"/>
        </w:rPr>
      </w:pPr>
      <w:r>
        <w:t>容。</w:t>
      </w:r>
    </w:p>
    <w:p>
      <w:pPr>
        <w:pStyle w:val="BodyText"/>
        <w:kinsoku w:val="0"/>
        <w:overflowPunct w:val="0"/>
        <w:spacing w:before="110" w:line="324" w:lineRule="auto"/>
        <w:ind w:left="628"/>
        <w:rPr>
          <w:rFonts w:hint="default"/>
        </w:rPr>
      </w:pPr>
      <w:r>
        <w:t>（三）详细评审（比较与评价） 按招标文件中规定的评标方法和标准</w:t>
      </w:r>
      <w:r>
        <w:rPr>
          <w:spacing w:val="-120"/>
        </w:rPr>
        <w:t>，</w:t>
      </w:r>
      <w:r>
        <w:t>对资格性审查和符合性审查合格的投标文件进行商务和技术评估，综合比较与评价出满足招标文件商务、技术要求的投标人。</w:t>
      </w:r>
    </w:p>
    <w:p>
      <w:pPr>
        <w:pStyle w:val="BodyText"/>
        <w:kinsoku w:val="0"/>
        <w:overflowPunct w:val="0"/>
        <w:spacing w:before="109" w:line="324" w:lineRule="auto"/>
        <w:ind w:left="628"/>
        <w:rPr>
          <w:rFonts w:hint="default"/>
        </w:rPr>
      </w:pPr>
      <w:r>
        <w:t>（四）推荐中标候选供应商名单</w:t>
      </w:r>
      <w:r>
        <w:rPr>
          <w:spacing w:val="2"/>
        </w:rPr>
        <w:t>评委会各成员独立对每个有效投标人评分，然后汇总每个投标人每项评分因素的得</w:t>
      </w:r>
      <w:r>
        <w:t>分</w:t>
      </w:r>
      <w:r>
        <w:rPr>
          <w:spacing w:val="-60"/>
        </w:rPr>
        <w:t>，</w:t>
      </w:r>
      <w:r>
        <w:t>按评标办法公式计算出各投标</w:t>
      </w:r>
      <w:r>
        <w:rPr>
          <w:spacing w:val="1"/>
        </w:rPr>
        <w:t>人</w:t>
      </w:r>
      <w:r>
        <w:t>的评标总得分</w:t>
      </w:r>
      <w:r>
        <w:rPr>
          <w:spacing w:val="-60"/>
        </w:rPr>
        <w:t>，</w:t>
      </w:r>
      <w:r>
        <w:t>推荐入围候选人按评标总得分由高到低顺序排列推荐三名入围候选人</w:t>
      </w:r>
      <w:r>
        <w:rPr>
          <w:spacing w:val="-41"/>
        </w:rPr>
        <w:t>；</w:t>
      </w:r>
      <w:r>
        <w:t>评标总得</w:t>
      </w:r>
      <w:r>
        <w:rPr>
          <w:spacing w:val="2"/>
        </w:rPr>
        <w:t>分</w:t>
      </w:r>
      <w:r>
        <w:t>相同的</w:t>
      </w:r>
      <w:r>
        <w:rPr>
          <w:spacing w:val="-41"/>
        </w:rPr>
        <w:t>，</w:t>
      </w:r>
      <w:r>
        <w:t>按投标报价</w:t>
      </w:r>
      <w:r>
        <w:rPr>
          <w:spacing w:val="2"/>
        </w:rPr>
        <w:t>由</w:t>
      </w:r>
      <w:r>
        <w:t>低到高顺序排列</w:t>
      </w:r>
      <w:r>
        <w:rPr>
          <w:spacing w:val="-44"/>
        </w:rPr>
        <w:t>；</w:t>
      </w:r>
      <w:r>
        <w:t>评标总得分且投标报价相同的，按技术部分得分高低顺序排列。</w:t>
      </w:r>
    </w:p>
    <w:p>
      <w:pPr>
        <w:pStyle w:val="Heading2"/>
        <w:tabs>
          <w:tab w:val="clear" w:pos="360"/>
          <w:tab w:val="left" w:pos="1021"/>
        </w:tabs>
        <w:kinsoku w:val="0"/>
        <w:overflowPunct w:val="0"/>
        <w:spacing w:before="155"/>
        <w:jc w:val="both"/>
        <w:rPr>
          <w:rFonts w:eastAsia="Times New Roman" w:hint="default"/>
          <w:sz w:val="34"/>
        </w:rPr>
      </w:pPr>
      <w:bookmarkStart w:id="39" w:name="_Toc4418"/>
      <w:r>
        <w:rPr>
          <w:spacing w:val="2"/>
          <w:sz w:val="32"/>
        </w:rPr>
        <w:t>六、评分细则</w:t>
      </w:r>
      <w:bookmarkEnd w:id="39"/>
    </w:p>
    <w:p>
      <w:pPr>
        <w:pStyle w:val="BodyText"/>
        <w:kinsoku w:val="0"/>
        <w:overflowPunct w:val="0"/>
        <w:spacing w:before="0"/>
        <w:ind w:left="628"/>
        <w:rPr>
          <w:rFonts w:hint="default"/>
        </w:rPr>
      </w:pPr>
      <w:r>
        <w:t>6.1</w:t>
      </w:r>
      <w:r>
        <w:rPr>
          <w:spacing w:val="-1"/>
        </w:rPr>
        <w:t xml:space="preserve"> </w:t>
      </w:r>
      <w:r>
        <w:t>分值构成</w:t>
      </w:r>
    </w:p>
    <w:p>
      <w:pPr>
        <w:kinsoku w:val="0"/>
        <w:overflowPunct w:val="0"/>
        <w:spacing w:before="109"/>
        <w:ind w:left="628"/>
        <w:rPr>
          <w:rFonts w:hint="default"/>
        </w:rPr>
      </w:pPr>
      <w:r>
        <w:rPr>
          <w:rFonts w:ascii="宋体" w:hAnsi="宋体"/>
        </w:rPr>
        <w:t>（1）投标报价：见“</w:t>
      </w:r>
      <w:r>
        <w:rPr>
          <w:rFonts w:ascii="宋体" w:hAnsi="宋体"/>
          <w:b/>
        </w:rPr>
        <w:t>评标办法前附表</w:t>
      </w:r>
      <w:r>
        <w:rPr>
          <w:rFonts w:ascii="宋体" w:hAnsi="宋体"/>
        </w:rPr>
        <w:t>”；</w:t>
      </w:r>
    </w:p>
    <w:p>
      <w:pPr>
        <w:kinsoku w:val="0"/>
        <w:overflowPunct w:val="0"/>
        <w:spacing w:before="109"/>
        <w:ind w:left="628"/>
        <w:rPr>
          <w:rFonts w:hint="default"/>
        </w:rPr>
      </w:pPr>
      <w:r>
        <w:rPr>
          <w:rFonts w:ascii="宋体" w:hAnsi="宋体"/>
        </w:rPr>
        <w:t>（2）技术部分：见“</w:t>
      </w:r>
      <w:r>
        <w:rPr>
          <w:rFonts w:ascii="宋体" w:hAnsi="宋体"/>
          <w:b/>
        </w:rPr>
        <w:t>评标办法前附表</w:t>
      </w:r>
      <w:r>
        <w:rPr>
          <w:rFonts w:ascii="宋体" w:hAnsi="宋体"/>
        </w:rPr>
        <w:t>”；</w:t>
      </w:r>
    </w:p>
    <w:p>
      <w:pPr>
        <w:kinsoku w:val="0"/>
        <w:overflowPunct w:val="0"/>
        <w:spacing w:before="109"/>
        <w:ind w:left="628"/>
        <w:rPr>
          <w:rFonts w:hint="default"/>
        </w:rPr>
      </w:pPr>
      <w:r>
        <w:rPr>
          <w:rFonts w:ascii="宋体" w:hAnsi="宋体"/>
        </w:rPr>
        <w:t>（3）商务部分：见“</w:t>
      </w:r>
      <w:r>
        <w:rPr>
          <w:rFonts w:ascii="宋体" w:hAnsi="宋体"/>
          <w:b/>
        </w:rPr>
        <w:t>评标办法前附表</w:t>
      </w:r>
      <w:r>
        <w:rPr>
          <w:rFonts w:ascii="宋体" w:hAnsi="宋体"/>
        </w:rPr>
        <w:t>”。</w:t>
      </w:r>
    </w:p>
    <w:p>
      <w:pPr>
        <w:kinsoku w:val="0"/>
        <w:overflowPunct w:val="0"/>
        <w:spacing w:before="109"/>
        <w:ind w:left="628"/>
        <w:rPr>
          <w:rFonts w:hint="default"/>
        </w:rPr>
      </w:pPr>
      <w:r>
        <w:rPr>
          <w:rFonts w:ascii="宋体" w:hAnsi="宋体"/>
        </w:rPr>
        <w:t>6.2</w:t>
      </w:r>
      <w:r>
        <w:rPr>
          <w:rFonts w:ascii="宋体" w:hAnsi="宋体"/>
          <w:spacing w:val="-18"/>
        </w:rPr>
        <w:t xml:space="preserve"> </w:t>
      </w:r>
      <w:r>
        <w:rPr>
          <w:rFonts w:ascii="宋体" w:hAnsi="宋体"/>
        </w:rPr>
        <w:t>评标基准价计算方法：见“</w:t>
      </w:r>
      <w:r>
        <w:rPr>
          <w:rFonts w:ascii="宋体" w:hAnsi="宋体"/>
          <w:b/>
        </w:rPr>
        <w:t>评标办法前附表</w:t>
      </w:r>
      <w:r>
        <w:rPr>
          <w:rFonts w:ascii="宋体" w:hAnsi="宋体"/>
        </w:rPr>
        <w:t>”。</w:t>
      </w:r>
    </w:p>
    <w:p>
      <w:pPr>
        <w:pStyle w:val="BodyText"/>
        <w:kinsoku w:val="0"/>
        <w:overflowPunct w:val="0"/>
        <w:spacing w:before="110" w:line="324" w:lineRule="auto"/>
        <w:ind w:left="628"/>
        <w:rPr>
          <w:rFonts w:hint="default"/>
        </w:rPr>
      </w:pPr>
      <w:r>
        <w:t>6.3</w:t>
      </w:r>
      <w:r>
        <w:rPr>
          <w:spacing w:val="-1"/>
        </w:rPr>
        <w:t xml:space="preserve"> </w:t>
      </w:r>
      <w:r>
        <w:t>评分标准 按招标文件中规定的评标方法和标准</w:t>
      </w:r>
      <w:r>
        <w:rPr>
          <w:spacing w:val="-120"/>
        </w:rPr>
        <w:t>，</w:t>
      </w:r>
      <w:r>
        <w:t>对资格评审和符合性评审合格的投标文件进行</w:t>
      </w:r>
    </w:p>
    <w:p>
      <w:pPr>
        <w:pStyle w:val="BodyText"/>
        <w:kinsoku w:val="0"/>
        <w:overflowPunct w:val="0"/>
        <w:spacing w:before="25"/>
        <w:jc w:val="both"/>
        <w:rPr>
          <w:rFonts w:hint="default"/>
        </w:rPr>
      </w:pPr>
      <w:r>
        <w:t>商务和技术评估，综合比较与评价。</w:t>
      </w:r>
    </w:p>
    <w:p>
      <w:pPr>
        <w:kinsoku w:val="0"/>
        <w:overflowPunct w:val="0"/>
        <w:spacing w:before="109"/>
        <w:ind w:left="628"/>
        <w:rPr>
          <w:rFonts w:hint="default"/>
        </w:rPr>
      </w:pPr>
      <w:r>
        <w:rPr>
          <w:rFonts w:ascii="宋体" w:hAnsi="宋体"/>
        </w:rPr>
        <w:t>（1）投标报价评分标准：见“</w:t>
      </w:r>
      <w:r>
        <w:rPr>
          <w:rFonts w:ascii="宋体" w:hAnsi="宋体"/>
          <w:b/>
        </w:rPr>
        <w:t>评标办法前附表</w:t>
      </w:r>
      <w:r>
        <w:rPr>
          <w:rFonts w:ascii="宋体" w:hAnsi="宋体"/>
        </w:rPr>
        <w:t>”；</w:t>
      </w:r>
    </w:p>
    <w:p>
      <w:pPr>
        <w:kinsoku w:val="0"/>
        <w:overflowPunct w:val="0"/>
        <w:spacing w:before="109"/>
        <w:ind w:left="628"/>
        <w:rPr>
          <w:rFonts w:hint="default"/>
        </w:rPr>
      </w:pPr>
      <w:r>
        <w:rPr>
          <w:rFonts w:ascii="宋体" w:hAnsi="宋体"/>
        </w:rPr>
        <w:t>（2）技术部分评分标准：见“</w:t>
      </w:r>
      <w:r>
        <w:rPr>
          <w:rFonts w:ascii="宋体" w:hAnsi="宋体"/>
          <w:b/>
        </w:rPr>
        <w:t>评标办法前附表</w:t>
      </w:r>
      <w:r>
        <w:rPr>
          <w:rFonts w:ascii="宋体" w:hAnsi="宋体"/>
        </w:rPr>
        <w:t>”；</w:t>
      </w:r>
    </w:p>
    <w:p>
      <w:pPr>
        <w:kinsoku w:val="0"/>
        <w:overflowPunct w:val="0"/>
        <w:spacing w:before="109"/>
        <w:ind w:left="628"/>
        <w:rPr>
          <w:rFonts w:eastAsia="Times New Roman" w:hint="default"/>
        </w:rPr>
      </w:pPr>
      <w:r>
        <w:rPr>
          <w:rFonts w:ascii="宋体" w:hAnsi="宋体"/>
        </w:rPr>
        <w:t>（3）商务部分评分标准：见“</w:t>
      </w:r>
      <w:r>
        <w:rPr>
          <w:rFonts w:ascii="宋体" w:hAnsi="宋体"/>
          <w:b/>
        </w:rPr>
        <w:t>评标办法前附表</w:t>
      </w:r>
      <w:r>
        <w:rPr>
          <w:rFonts w:ascii="宋体" w:hAnsi="宋体"/>
        </w:rPr>
        <w:t>”</w:t>
      </w:r>
    </w:p>
    <w:p>
      <w:pPr>
        <w:pStyle w:val="Heading2"/>
        <w:tabs>
          <w:tab w:val="clear" w:pos="360"/>
          <w:tab w:val="left" w:pos="1021"/>
        </w:tabs>
        <w:kinsoku w:val="0"/>
        <w:overflowPunct w:val="0"/>
        <w:jc w:val="both"/>
        <w:rPr>
          <w:rFonts w:eastAsia="Times New Roman" w:hint="default"/>
          <w:sz w:val="34"/>
        </w:rPr>
      </w:pPr>
      <w:bookmarkStart w:id="40" w:name="_Toc20394"/>
      <w:r>
        <w:rPr>
          <w:spacing w:val="2"/>
          <w:sz w:val="32"/>
        </w:rPr>
        <w:t>七、评标报告</w:t>
      </w:r>
      <w:bookmarkEnd w:id="40"/>
    </w:p>
    <w:p>
      <w:pPr>
        <w:pStyle w:val="BodyText"/>
        <w:kinsoku w:val="0"/>
        <w:overflowPunct w:val="0"/>
        <w:spacing w:before="0" w:line="324" w:lineRule="auto"/>
        <w:ind w:right="157" w:firstLine="480"/>
        <w:jc w:val="both"/>
        <w:rPr>
          <w:rFonts w:hint="default"/>
        </w:rPr>
      </w:pPr>
      <w:r>
        <w:t>7.1</w:t>
      </w:r>
      <w:r>
        <w:rPr>
          <w:spacing w:val="-61"/>
        </w:rPr>
        <w:t xml:space="preserve"> </w:t>
      </w:r>
      <w:r>
        <w:t>评标报告由评标委员会全体成员签字</w:t>
      </w:r>
      <w:r>
        <w:rPr>
          <w:spacing w:val="-60"/>
        </w:rPr>
        <w:t>。</w:t>
      </w:r>
      <w:r>
        <w:t>对评标结论持有异议的评标委员会成员可 以用书面方式阐述不同意见和理由</w:t>
      </w:r>
      <w:r>
        <w:rPr>
          <w:spacing w:val="-120"/>
        </w:rPr>
        <w:t>。</w:t>
      </w:r>
      <w:r>
        <w:t>评标委员会成员拒绝在评标报告上签字且不陈述其不 同意见和理由的，可视为同意评标结论。评标委员会将对此做出书面说明并记录在案。</w:t>
      </w:r>
    </w:p>
    <w:p>
      <w:pPr>
        <w:pStyle w:val="BodyText"/>
        <w:kinsoku w:val="0"/>
        <w:overflowPunct w:val="0"/>
        <w:spacing w:before="25"/>
        <w:ind w:left="628"/>
        <w:rPr>
          <w:rFonts w:hint="default"/>
          <w:b/>
          <w:bCs/>
          <w:sz w:val="32"/>
          <w:szCs w:val="32"/>
        </w:rPr>
      </w:pPr>
      <w:r>
        <w:t>7.2</w:t>
      </w:r>
      <w:r>
        <w:rPr>
          <w:spacing w:val="-61"/>
        </w:rPr>
        <w:t xml:space="preserve"> </w:t>
      </w:r>
      <w:r>
        <w:t>招标人根据评标委员会书面评标报告，确定中标单位。</w:t>
      </w:r>
    </w:p>
    <w:sectPr>
      <w:pgSz w:w="11906" w:h="16838"/>
      <w:pgMar w:top="1440" w:right="1226" w:bottom="1440" w:left="1080" w:header="851" w:footer="992" w:gutter="0"/>
      <w:cols w:num="1" w:space="708"/>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方正小标宋繁体">
    <w:altName w:val="宋体"/>
    <w:panose1 w:val="00000000000000000000"/>
    <w:charset w:val="86"/>
    <w:family w:val="auto"/>
    <w:pitch w:val="default"/>
    <w:sig w:usb0="00000000" w:usb1="0000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粗黑宋简体">
    <w:altName w:val="宋体"/>
    <w:panose1 w:val="00000000000000000000"/>
    <w:charset w:val="86"/>
    <w:family w:val="auto"/>
    <w:pitch w:val="default"/>
    <w:sig w:usb0="00000000" w:usb1="00000000" w:usb2="00000012"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rFonts w:ascii="方正粗黑宋简体" w:eastAsia="方正粗黑宋简体" w:hAnsi="方正粗黑宋简体" w:cs="方正粗黑宋简体" w:hint="default"/>
      </w:rPr>
    </w:pPr>
    <w:r>
      <w:rPr>
        <w:rFonts w:ascii="方正粗黑宋简体" w:eastAsia="方正粗黑宋简体" w:hAnsi="方正粗黑宋简体" w:cs="方正粗黑宋简体" w:hint="default"/>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14935" cy="147955"/>
              <wp:effectExtent l="0" t="0" r="0"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14935" cy="147955"/>
                      </a:xfrm>
                      <a:prstGeom prst="rect">
                        <a:avLst/>
                      </a:prstGeom>
                      <a:noFill/>
                      <a:ln>
                        <a:noFill/>
                      </a:ln>
                    </wps:spPr>
                    <wps:txbx>
                      <w:txbxContent>
                        <w:p>
                          <w:pPr>
                            <w:pStyle w:val="Footer"/>
                            <w:rPr>
                              <w:rFonts w:hint="default"/>
                            </w:rPr>
                          </w:pPr>
                          <w:r>
                            <w:fldChar w:fldCharType="begin"/>
                          </w:r>
                          <w:r>
                            <w:instrText xml:space="preserve"> PAGE  \* MERGEFORMAT </w:instrText>
                          </w:r>
                          <w:r>
                            <w:fldChar w:fldCharType="separate"/>
                          </w:r>
                          <w:r>
                            <w:rPr>
                              <w:rFonts w:hint="default"/>
                            </w:rPr>
                            <w:t>43</w:t>
                          </w:r>
                          <w: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_x0000_s1026" o:spid="_x0000_s2049" type="#_x0000_t202" style="width:9.05pt;height:11.65pt;margin-top:0;margin-left:0;mso-height-relative:page;mso-position-horizontal:right;mso-position-horizontal-relative:margin;mso-width-relative:page;mso-wrap-style:none;position:absolute;z-index:251659264" coordsize="21600,21600" filled="f" stroked="f">
              <o:lock v:ext="edit" aspectratio="f"/>
              <v:textbox style="mso-fit-shape-to-text:t" inset="0,0,0,0">
                <w:txbxContent>
                  <w:p>
                    <w:pPr>
                      <w:pStyle w:val="Footer"/>
                      <w:rPr>
                        <w:rFonts w:hint="default"/>
                      </w:rPr>
                    </w:pPr>
                    <w:r>
                      <w:fldChar w:fldCharType="begin"/>
                    </w:r>
                    <w:r>
                      <w:instrText xml:space="preserve"> PAGE  \* MERGEFORMAT </w:instrText>
                    </w:r>
                    <w:r>
                      <w:fldChar w:fldCharType="separate"/>
                    </w:r>
                    <w:r>
                      <w:rPr>
                        <w:rFonts w:hint="default"/>
                      </w:rPr>
                      <w:t>43</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rFonts w:ascii="方正粗黑宋简体" w:eastAsia="方正粗黑宋简体" w:hAnsi="方正粗黑宋简体" w:cs="方正粗黑宋简体" w:hint="default"/>
      </w:rPr>
    </w:pPr>
    <w:r>
      <w:rPr>
        <w:rFonts w:ascii="方正粗黑宋简体" w:eastAsia="方正粗黑宋简体" w:hAnsi="方正粗黑宋简体" w:cs="方正粗黑宋简体" w:hint="default"/>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14935" cy="147955"/>
              <wp:effectExtent l="0" t="0" r="0" b="0"/>
              <wp:wrapNone/>
              <wp:docPr id="5" name="文本框 5"/>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14935" cy="147955"/>
                      </a:xfrm>
                      <a:prstGeom prst="rect">
                        <a:avLst/>
                      </a:prstGeom>
                      <a:noFill/>
                      <a:ln>
                        <a:noFill/>
                      </a:ln>
                    </wps:spPr>
                    <wps:txbx>
                      <w:txbxContent>
                        <w:p>
                          <w:pPr>
                            <w:pStyle w:val="Footer"/>
                            <w:rPr>
                              <w:rFonts w:hint="default"/>
                            </w:rPr>
                          </w:pPr>
                          <w:r>
                            <w:fldChar w:fldCharType="begin"/>
                          </w:r>
                          <w:r>
                            <w:instrText xml:space="preserve"> PAGE  \* MERGEFORMAT </w:instrText>
                          </w:r>
                          <w:r>
                            <w:fldChar w:fldCharType="separate"/>
                          </w:r>
                          <w:r>
                            <w:rPr>
                              <w:rFonts w:hint="default"/>
                            </w:rPr>
                            <w:t>43</w:t>
                          </w:r>
                          <w: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_x0000_s1026" o:spid="_x0000_s2051" type="#_x0000_t202" style="width:9.05pt;height:11.65pt;margin-top:0;margin-left:0;mso-height-relative:page;mso-position-horizontal:right;mso-position-horizontal-relative:margin;mso-width-relative:page;mso-wrap-style:none;position:absolute;z-index:251663360" coordsize="21600,21600" filled="f" stroked="f">
              <o:lock v:ext="edit" aspectratio="f"/>
              <v:textbox style="mso-fit-shape-to-text:t" inset="0,0,0,0">
                <w:txbxContent>
                  <w:p>
                    <w:pPr>
                      <w:pStyle w:val="Footer"/>
                      <w:rPr>
                        <w:rFonts w:hint="default"/>
                      </w:rPr>
                    </w:pPr>
                    <w:r>
                      <w:fldChar w:fldCharType="begin"/>
                    </w:r>
                    <w:r>
                      <w:instrText xml:space="preserve"> PAGE  \* MERGEFORMAT </w:instrText>
                    </w:r>
                    <w:r>
                      <w:fldChar w:fldCharType="separate"/>
                    </w:r>
                    <w:r>
                      <w:rPr>
                        <w:rFonts w:hint="default"/>
                      </w:rPr>
                      <w:t>43</w:t>
                    </w:r>
                    <w:r>
                      <w:fldChar w:fldCharType="end"/>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nThickSmallGap" w:sz="12" w:space="1" w:color="339966"/>
      </w:pBdr>
      <w:tabs>
        <w:tab w:val="clear" w:pos="8306"/>
        <w:tab w:val="left" w:pos="9781"/>
      </w:tabs>
      <w:jc w:val="distribute"/>
      <w:rPr>
        <w:rFonts w:hint="default"/>
      </w:rPr>
    </w:pPr>
    <w:r>
      <w:rPr>
        <w:rFonts w:hint="default"/>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828800" cy="1828800"/>
                      </a:xfrm>
                      <a:prstGeom prst="rect">
                        <a:avLst/>
                      </a:prstGeom>
                      <a:noFill/>
                      <a:ln>
                        <a:noFill/>
                      </a:ln>
                    </wps:spPr>
                    <wps:txbx>
                      <w:txbxContent>
                        <w:p>
                          <w:pPr>
                            <w:pStyle w:val="Header"/>
                            <w:rPr>
                              <w:rFonts w:hint="default"/>
                            </w:rPr>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_x0000_s1026" o:spid="_x0000_s2050" type="#_x0000_t202" style="width:2in;height:2in;margin-top:0;margin-left:0;mso-height-relative:page;mso-position-horizontal:center;mso-position-horizontal-relative:margin;mso-width-relative:page;mso-wrap-style:none;position:absolute;z-index:251661312" coordsize="21600,21600" filled="f" stroked="f">
              <o:lock v:ext="edit" aspectratio="f"/>
              <v:textbox style="mso-fit-shape-to-text:t" inset="0,0,0,0">
                <w:txbxContent>
                  <w:p>
                    <w:pPr>
                      <w:pStyle w:val="Header"/>
                      <w:rPr>
                        <w:rFonts w:hint="default"/>
                      </w:rPr>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rFonts w:ascii="方正粗黑宋简体" w:eastAsia="方正粗黑宋简体" w:hAnsi="方正粗黑宋简体" w:cs="方正粗黑宋简体"/>
      </w:rPr>
      <w:t xml:space="preserve">兰坪县新一轮退耕还林还草工程2019年建设任务作业设计项目（二次）项目（二次）编制单位招标    </w:t>
    </w:r>
    <w:r>
      <w:rPr>
        <w:rFonts w:ascii="方正粗黑宋简体" w:eastAsia="方正粗黑宋简体" w:hAnsi="方正粗黑宋简体" w:cs="方正粗黑宋简体"/>
        <w:sz w:val="21"/>
        <w:szCs w:val="21"/>
      </w:rPr>
      <w:t xml:space="preserve">                       </w:t>
    </w:r>
    <w:r>
      <w:rPr>
        <w:rFonts w:ascii="方正粗黑宋简体" w:eastAsia="方正粗黑宋简体" w:hAnsi="方正粗黑宋简体" w:cs="方正粗黑宋简体"/>
      </w:rPr>
      <w:t xml:space="preserve">        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tabs>
        <w:tab w:val="clear" w:pos="8306"/>
        <w:tab w:val="left" w:pos="9781"/>
      </w:tabs>
      <w:jc w:val="distribute"/>
      <w:rPr>
        <w:rFonts w:ascii="方正粗黑宋简体" w:eastAsia="方正粗黑宋简体" w:hAnsi="方正粗黑宋简体" w:cs="方正粗黑宋简体" w:hint="default"/>
      </w:rPr>
    </w:pPr>
    <w:r>
      <w:rPr>
        <w:rFonts w:ascii="方正粗黑宋简体" w:eastAsia="方正粗黑宋简体" w:hAnsi="方正粗黑宋简体" w:cs="方正粗黑宋简体"/>
        <w:sz w:val="21"/>
        <w:szCs w:val="21"/>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nThickSmallGap" w:sz="12" w:space="1" w:color="339966"/>
      </w:pBdr>
      <w:tabs>
        <w:tab w:val="clear" w:pos="8306"/>
        <w:tab w:val="left" w:pos="9781"/>
      </w:tabs>
      <w:jc w:val="distribute"/>
      <w:rPr>
        <w:rFonts w:hint="default"/>
      </w:rPr>
    </w:pPr>
    <w:r>
      <w:rPr>
        <w:rFonts w:hint="default"/>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828800" cy="1828800"/>
                      </a:xfrm>
                      <a:prstGeom prst="rect">
                        <a:avLst/>
                      </a:prstGeom>
                      <a:noFill/>
                      <a:ln>
                        <a:noFill/>
                      </a:ln>
                    </wps:spPr>
                    <wps:txbx>
                      <w:txbxContent>
                        <w:p>
                          <w:pPr>
                            <w:pStyle w:val="Header"/>
                            <w:rPr>
                              <w:rFonts w:hint="default"/>
                            </w:rPr>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_x0000_s1026" o:spid="_x0000_s2052" type="#_x0000_t202" style="width:2in;height:2in;margin-top:0;margin-left:0;mso-height-relative:page;mso-position-horizontal:center;mso-position-horizontal-relative:margin;mso-width-relative:page;mso-wrap-style:none;position:absolute;z-index:251665408" coordsize="21600,21600" filled="f" stroked="f">
              <o:lock v:ext="edit" aspectratio="f"/>
              <v:textbox style="mso-fit-shape-to-text:t" inset="0,0,0,0">
                <w:txbxContent>
                  <w:p>
                    <w:pPr>
                      <w:pStyle w:val="Header"/>
                      <w:rPr>
                        <w:rFonts w:hint="default"/>
                      </w:rPr>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rFonts w:ascii="方正粗黑宋简体" w:eastAsia="方正粗黑宋简体" w:hAnsi="方正粗黑宋简体" w:cs="方正粗黑宋简体"/>
      </w:rPr>
      <w:t xml:space="preserve">兰坪县新一轮退耕还林还草工程2019年建设任务作业设计项目（二次）项目（二次）编制单位招标    </w:t>
    </w:r>
    <w:r>
      <w:rPr>
        <w:rFonts w:ascii="方正粗黑宋简体" w:eastAsia="方正粗黑宋简体" w:hAnsi="方正粗黑宋简体" w:cs="方正粗黑宋简体"/>
        <w:sz w:val="21"/>
        <w:szCs w:val="21"/>
      </w:rPr>
      <w:t xml:space="preserve">                       </w:t>
    </w:r>
    <w:r>
      <w:rPr>
        <w:rFonts w:ascii="方正粗黑宋简体" w:eastAsia="方正粗黑宋简体" w:hAnsi="方正粗黑宋简体" w:cs="方正粗黑宋简体"/>
      </w:rPr>
      <w:t xml:space="preserve">        招标文件</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tabs>
        <w:tab w:val="clear" w:pos="8306"/>
        <w:tab w:val="left" w:pos="9781"/>
      </w:tabs>
      <w:jc w:val="distribute"/>
      <w:rPr>
        <w:rFonts w:ascii="方正粗黑宋简体" w:eastAsia="方正粗黑宋简体" w:hAnsi="方正粗黑宋简体" w:cs="方正粗黑宋简体" w:hint="default"/>
      </w:rPr>
    </w:pPr>
    <w:r>
      <w:rPr>
        <w:rFonts w:ascii="方正粗黑宋简体" w:eastAsia="方正粗黑宋简体" w:hAnsi="方正粗黑宋简体" w:cs="方正粗黑宋简体"/>
        <w:sz w:val="21"/>
        <w:szCs w:val="21"/>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2"/>
    <w:multiLevelType w:val="singleLevel"/>
    <w:tmpl w:val="00000002"/>
    <w:lvl w:ilvl="0">
      <w:start w:val="1"/>
      <w:numFmt w:val="decimal"/>
      <w:suff w:val="nothing"/>
      <w:lvlText w:val="%1、"/>
      <w:lvlJc w:val="left"/>
    </w:lvl>
  </w:abstractNum>
  <w:abstractNum w:abstractNumId="1">
    <w:nsid w:val="00000003"/>
    <w:multiLevelType w:val="multilevel"/>
    <w:tmpl w:val="00000003"/>
    <w:lvl w:ilvl="0">
      <w:start w:val="1"/>
      <w:numFmt w:val="decimal"/>
      <w:lvlText w:val="%1"/>
      <w:lvlJc w:val="left"/>
      <w:pPr>
        <w:tabs>
          <w:tab w:val="left" w:pos="360"/>
        </w:tabs>
        <w:ind w:left="284" w:hanging="284"/>
      </w:pPr>
      <w:rPr>
        <w:rFonts w:ascii="Times New Roman" w:hAnsi="Times New Roman" w:hint="default"/>
        <w:b/>
        <w:i w:val="0"/>
        <w:sz w:val="28"/>
      </w:rPr>
    </w:lvl>
    <w:lvl w:ilvl="1">
      <w:start w:val="1"/>
      <w:numFmt w:val="decimal"/>
      <w:pStyle w:val="Heading2"/>
      <w:lvlText w:val="%1.%2"/>
      <w:lvlJc w:val="left"/>
      <w:pPr>
        <w:tabs>
          <w:tab w:val="left" w:pos="1021"/>
        </w:tabs>
        <w:ind w:left="1021" w:hanging="596"/>
      </w:pPr>
      <w:rPr>
        <w:rFonts w:ascii="Times New Roman" w:hAnsi="Times New Roman" w:hint="default"/>
        <w:b/>
        <w:i w:val="0"/>
        <w:sz w:val="28"/>
      </w:rPr>
    </w:lvl>
    <w:lvl w:ilvl="2">
      <w:start w:val="1"/>
      <w:numFmt w:val="decimal"/>
      <w:lvlText w:val="%1.%2.%3"/>
      <w:lvlJc w:val="left"/>
      <w:pPr>
        <w:tabs>
          <w:tab w:val="left" w:pos="1588"/>
        </w:tabs>
        <w:ind w:left="1588" w:hanging="737"/>
      </w:pPr>
      <w:rPr>
        <w:rFonts w:ascii="Times New Roman" w:hAnsi="Times New Roman" w:hint="default"/>
        <w:b/>
        <w:i w:val="0"/>
        <w:sz w:val="24"/>
      </w:rPr>
    </w:lvl>
    <w:lvl w:ilvl="3">
      <w:start w:val="1"/>
      <w:numFmt w:val="decimal"/>
      <w:lvlText w:val="%1.%2.%3.%4"/>
      <w:lvlJc w:val="left"/>
      <w:pPr>
        <w:tabs>
          <w:tab w:val="left" w:pos="2155"/>
        </w:tabs>
        <w:ind w:left="2155" w:hanging="1078"/>
      </w:pPr>
      <w:rPr>
        <w:rFonts w:ascii="Arial" w:hAnsi="Arial" w:hint="default"/>
        <w:b w:val="0"/>
        <w:i w:val="0"/>
        <w:sz w:val="24"/>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2">
    <w:nsid w:val="00000004"/>
    <w:multiLevelType w:val="multilevel"/>
    <w:tmpl w:val="00000004"/>
    <w:lvl w:ilvl="0">
      <w:start w:val="3"/>
      <w:numFmt w:val="chineseCounting"/>
      <w:suff w:val="space"/>
      <w:lvlText w:val="第%1章"/>
      <w:lvlJc w:val="left"/>
      <w:rPr>
        <w:rFonts w:ascii="Times New Roman" w:eastAsia="宋体" w:hAnsi="Times New Roman" w:hint="default"/>
        <w:u w:val="none"/>
      </w:rPr>
    </w:lvl>
    <w:lvl w:ilvl="1">
      <w:start w:val="1"/>
      <w:numFmt w:val="decimal"/>
      <w:lvlText w:val="第"/>
      <w:lvlJc w:val="left"/>
      <w:rPr>
        <w:rFonts w:ascii="Times New Roman" w:eastAsia="宋体" w:hAnsi="Times New Roman" w:hint="default"/>
        <w:u w:val="none"/>
      </w:rPr>
    </w:lvl>
    <w:lvl w:ilvl="2">
      <w:start w:val="1"/>
      <w:numFmt w:val="decimal"/>
      <w:lvlText w:val="第"/>
      <w:lvlJc w:val="left"/>
      <w:rPr>
        <w:rFonts w:ascii="Times New Roman" w:eastAsia="宋体" w:hAnsi="Times New Roman" w:hint="default"/>
        <w:u w:val="none"/>
      </w:rPr>
    </w:lvl>
    <w:lvl w:ilvl="3">
      <w:start w:val="1"/>
      <w:numFmt w:val="decimal"/>
      <w:lvlText w:val="第"/>
      <w:lvlJc w:val="left"/>
      <w:rPr>
        <w:rFonts w:ascii="Times New Roman" w:eastAsia="宋体" w:hAnsi="Times New Roman" w:hint="default"/>
        <w:u w:val="none"/>
      </w:rPr>
    </w:lvl>
    <w:lvl w:ilvl="4">
      <w:start w:val="1"/>
      <w:numFmt w:val="decimal"/>
      <w:lvlText w:val="第"/>
      <w:lvlJc w:val="left"/>
      <w:rPr>
        <w:rFonts w:ascii="Times New Roman" w:eastAsia="宋体" w:hAnsi="Times New Roman" w:hint="default"/>
        <w:u w:val="none"/>
      </w:rPr>
    </w:lvl>
    <w:lvl w:ilvl="5">
      <w:start w:val="1"/>
      <w:numFmt w:val="decimal"/>
      <w:lvlText w:val="第"/>
      <w:lvlJc w:val="left"/>
      <w:rPr>
        <w:rFonts w:ascii="Times New Roman" w:eastAsia="宋体" w:hAnsi="Times New Roman" w:hint="default"/>
        <w:u w:val="none"/>
      </w:rPr>
    </w:lvl>
    <w:lvl w:ilvl="6">
      <w:start w:val="1"/>
      <w:numFmt w:val="decimal"/>
      <w:lvlText w:val="第"/>
      <w:lvlJc w:val="left"/>
      <w:rPr>
        <w:rFonts w:ascii="Times New Roman" w:eastAsia="宋体" w:hAnsi="Times New Roman" w:hint="default"/>
        <w:u w:val="none"/>
      </w:rPr>
    </w:lvl>
    <w:lvl w:ilvl="7">
      <w:start w:val="1"/>
      <w:numFmt w:val="decimal"/>
      <w:lvlText w:val="第"/>
      <w:lvlJc w:val="left"/>
      <w:rPr>
        <w:rFonts w:ascii="Times New Roman" w:eastAsia="宋体" w:hAnsi="Times New Roman" w:hint="default"/>
        <w:u w:val="none"/>
      </w:rPr>
    </w:lvl>
    <w:lvl w:ilvl="8">
      <w:start w:val="1"/>
      <w:numFmt w:val="decimal"/>
      <w:lvlText w:val="第"/>
      <w:lvlJc w:val="left"/>
      <w:rPr>
        <w:rFonts w:ascii="Times New Roman" w:eastAsia="宋体" w:hAnsi="Times New Roman" w:hint="default"/>
        <w:u w:val="none"/>
      </w:rPr>
    </w:lvl>
  </w:abstractNum>
  <w:abstractNum w:abstractNumId="3">
    <w:nsid w:val="00000005"/>
    <w:multiLevelType w:val="multilevel"/>
    <w:tmpl w:val="00000005"/>
    <w:lvl w:ilvl="0">
      <w:start w:val="2"/>
      <w:numFmt w:val="chineseCounting"/>
      <w:suff w:val="nothing"/>
      <w:lvlText w:val="（%1）"/>
      <w:lvlJc w:val="left"/>
      <w:rPr>
        <w:rFonts w:ascii="Times New Roman" w:eastAsia="宋体" w:hAnsi="Times New Roman" w:hint="default"/>
        <w:u w:val="none"/>
      </w:rPr>
    </w:lvl>
    <w:lvl w:ilvl="1">
      <w:start w:val="1"/>
      <w:numFmt w:val="decimal"/>
      <w:lvlText w:val="（"/>
      <w:lvlJc w:val="left"/>
      <w:rPr>
        <w:rFonts w:ascii="Times New Roman" w:eastAsia="宋体" w:hAnsi="Times New Roman" w:hint="default"/>
        <w:u w:val="none"/>
      </w:rPr>
    </w:lvl>
    <w:lvl w:ilvl="2">
      <w:start w:val="1"/>
      <w:numFmt w:val="decimal"/>
      <w:lvlText w:val="（"/>
      <w:lvlJc w:val="left"/>
      <w:rPr>
        <w:rFonts w:ascii="Times New Roman" w:eastAsia="宋体" w:hAnsi="Times New Roman" w:hint="default"/>
        <w:u w:val="none"/>
      </w:rPr>
    </w:lvl>
    <w:lvl w:ilvl="3">
      <w:start w:val="1"/>
      <w:numFmt w:val="decimal"/>
      <w:lvlText w:val="（"/>
      <w:lvlJc w:val="left"/>
      <w:rPr>
        <w:rFonts w:ascii="Times New Roman" w:eastAsia="宋体" w:hAnsi="Times New Roman" w:hint="default"/>
        <w:u w:val="none"/>
      </w:rPr>
    </w:lvl>
    <w:lvl w:ilvl="4">
      <w:start w:val="1"/>
      <w:numFmt w:val="decimal"/>
      <w:lvlText w:val="（"/>
      <w:lvlJc w:val="left"/>
      <w:rPr>
        <w:rFonts w:ascii="Times New Roman" w:eastAsia="宋体" w:hAnsi="Times New Roman" w:hint="default"/>
        <w:u w:val="none"/>
      </w:rPr>
    </w:lvl>
    <w:lvl w:ilvl="5">
      <w:start w:val="1"/>
      <w:numFmt w:val="decimal"/>
      <w:lvlText w:val="（"/>
      <w:lvlJc w:val="left"/>
      <w:rPr>
        <w:rFonts w:ascii="Times New Roman" w:eastAsia="宋体" w:hAnsi="Times New Roman" w:hint="default"/>
        <w:u w:val="none"/>
      </w:rPr>
    </w:lvl>
    <w:lvl w:ilvl="6">
      <w:start w:val="1"/>
      <w:numFmt w:val="decimal"/>
      <w:lvlText w:val="（"/>
      <w:lvlJc w:val="left"/>
      <w:rPr>
        <w:rFonts w:ascii="Times New Roman" w:eastAsia="宋体" w:hAnsi="Times New Roman" w:hint="default"/>
        <w:u w:val="none"/>
      </w:rPr>
    </w:lvl>
    <w:lvl w:ilvl="7">
      <w:start w:val="1"/>
      <w:numFmt w:val="decimal"/>
      <w:lvlText w:val="（"/>
      <w:lvlJc w:val="left"/>
      <w:rPr>
        <w:rFonts w:ascii="Times New Roman" w:eastAsia="宋体" w:hAnsi="Times New Roman" w:hint="default"/>
        <w:u w:val="none"/>
      </w:rPr>
    </w:lvl>
    <w:lvl w:ilvl="8">
      <w:start w:val="1"/>
      <w:numFmt w:val="decimal"/>
      <w:lvlText w:val="（"/>
      <w:lvlJc w:val="left"/>
      <w:rPr>
        <w:rFonts w:ascii="Times New Roman" w:eastAsia="宋体" w:hAnsi="Times New Roman" w:hint="default"/>
        <w:u w:val="none"/>
      </w:rPr>
    </w:lvl>
  </w:abstractNum>
  <w:abstractNum w:abstractNumId="4">
    <w:nsid w:val="00000006"/>
    <w:multiLevelType w:val="singleLevel"/>
    <w:tmpl w:val="00000006"/>
    <w:lvl w:ilvl="0">
      <w:start w:val="2"/>
      <w:numFmt w:val="chineseCounting"/>
      <w:suff w:val="nothing"/>
      <w:lvlText w:val="%1、"/>
      <w:lvlJc w:val="left"/>
      <w:rPr>
        <w:rFonts w:hint="eastAsia"/>
      </w:rPr>
    </w:lvl>
  </w:abstractNum>
  <w:abstractNum w:abstractNumId="5">
    <w:nsid w:val="226F2D08"/>
    <w:multiLevelType w:val="multilevel"/>
    <w:tmpl w:val="226F2D08"/>
    <w:lvl w:ilvl="0">
      <w:start w:val="2"/>
      <w:numFmt w:val="decimal"/>
      <w:lvlText w:val="%1、"/>
      <w:lvlJc w:val="left"/>
      <w:pPr>
        <w:ind w:left="375" w:hanging="37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oNotShadeFormData/>
  <w:noPunctuationKerning/>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4271F"/>
    <w:rsid w:val="00096F05"/>
    <w:rsid w:val="000F0639"/>
    <w:rsid w:val="00105FE4"/>
    <w:rsid w:val="00117A28"/>
    <w:rsid w:val="0015651A"/>
    <w:rsid w:val="00172A27"/>
    <w:rsid w:val="001A60B5"/>
    <w:rsid w:val="001D2222"/>
    <w:rsid w:val="002305A5"/>
    <w:rsid w:val="00281EBA"/>
    <w:rsid w:val="00335AE0"/>
    <w:rsid w:val="0040369F"/>
    <w:rsid w:val="00425CD3"/>
    <w:rsid w:val="00435629"/>
    <w:rsid w:val="004809EF"/>
    <w:rsid w:val="005066DD"/>
    <w:rsid w:val="006244FF"/>
    <w:rsid w:val="006C451D"/>
    <w:rsid w:val="0071423C"/>
    <w:rsid w:val="00757B97"/>
    <w:rsid w:val="0083155F"/>
    <w:rsid w:val="00835698"/>
    <w:rsid w:val="0086527F"/>
    <w:rsid w:val="008861CA"/>
    <w:rsid w:val="008A50A6"/>
    <w:rsid w:val="008B406D"/>
    <w:rsid w:val="008D55C5"/>
    <w:rsid w:val="008F5892"/>
    <w:rsid w:val="009541C0"/>
    <w:rsid w:val="00AF0B82"/>
    <w:rsid w:val="00AF593F"/>
    <w:rsid w:val="00B26FC6"/>
    <w:rsid w:val="00BF594F"/>
    <w:rsid w:val="00C26EB9"/>
    <w:rsid w:val="00C31F0A"/>
    <w:rsid w:val="00C85B7A"/>
    <w:rsid w:val="00CA397D"/>
    <w:rsid w:val="00CD13F1"/>
    <w:rsid w:val="00CE20E1"/>
    <w:rsid w:val="00D41C25"/>
    <w:rsid w:val="00D45DB4"/>
    <w:rsid w:val="00E1652A"/>
    <w:rsid w:val="00E45106"/>
    <w:rsid w:val="00E839EC"/>
    <w:rsid w:val="00FA34A3"/>
    <w:rsid w:val="00FC2090"/>
    <w:rsid w:val="02021515"/>
    <w:rsid w:val="062F6DDF"/>
    <w:rsid w:val="0D7A2B84"/>
    <w:rsid w:val="0DC515AB"/>
    <w:rsid w:val="0E020FB9"/>
    <w:rsid w:val="0F000BA7"/>
    <w:rsid w:val="1522733E"/>
    <w:rsid w:val="164301E3"/>
    <w:rsid w:val="18D76683"/>
    <w:rsid w:val="1AA03858"/>
    <w:rsid w:val="1F2A4BCD"/>
    <w:rsid w:val="1F3A7031"/>
    <w:rsid w:val="1F5C4ABC"/>
    <w:rsid w:val="201F4339"/>
    <w:rsid w:val="223642D4"/>
    <w:rsid w:val="271012F0"/>
    <w:rsid w:val="284F2E9E"/>
    <w:rsid w:val="2A837C93"/>
    <w:rsid w:val="2CE478DF"/>
    <w:rsid w:val="2FCB6E56"/>
    <w:rsid w:val="2FF5789E"/>
    <w:rsid w:val="30F5616E"/>
    <w:rsid w:val="343E6B8F"/>
    <w:rsid w:val="37ED74CA"/>
    <w:rsid w:val="3949749C"/>
    <w:rsid w:val="39830753"/>
    <w:rsid w:val="3B2F1BAC"/>
    <w:rsid w:val="3D1D0934"/>
    <w:rsid w:val="3D9422BD"/>
    <w:rsid w:val="3EAE5CE6"/>
    <w:rsid w:val="3F8E186F"/>
    <w:rsid w:val="3FB57985"/>
    <w:rsid w:val="40181B4E"/>
    <w:rsid w:val="40C1373A"/>
    <w:rsid w:val="4191776C"/>
    <w:rsid w:val="42520200"/>
    <w:rsid w:val="42785606"/>
    <w:rsid w:val="42C05126"/>
    <w:rsid w:val="4B4B0339"/>
    <w:rsid w:val="57AB32E6"/>
    <w:rsid w:val="58C93C0A"/>
    <w:rsid w:val="599C434F"/>
    <w:rsid w:val="5A1645B0"/>
    <w:rsid w:val="5C617480"/>
    <w:rsid w:val="614E56CA"/>
    <w:rsid w:val="62B036BD"/>
    <w:rsid w:val="63D158FA"/>
    <w:rsid w:val="6485363B"/>
    <w:rsid w:val="68CA16B2"/>
    <w:rsid w:val="6BE9337E"/>
    <w:rsid w:val="6F2428C4"/>
    <w:rsid w:val="75B060F8"/>
    <w:rsid w:val="772E32FF"/>
    <w:rsid w:val="799C7076"/>
    <w:rsid w:val="7AF635C6"/>
    <w:rsid w:val="7B1D69F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0" w:unhideWhenUsed="0" w:qFormat="1"/>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qFormat="1"/>
    <w:lsdException w:name="Block Text" w:semiHidden="0" w:uiPriority="0" w:unhideWhenUsed="0"/>
    <w:lsdException w:name="Hyperlink" w:semiHidden="0" w:uiPriority="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autoSpaceDE w:val="0"/>
      <w:autoSpaceDN w:val="0"/>
      <w:adjustRightInd w:val="0"/>
      <w:spacing w:after="200" w:line="276" w:lineRule="auto"/>
    </w:pPr>
    <w:rPr>
      <w:rFonts w:ascii="Times New Roman" w:eastAsia="宋体" w:hAnsi="Times New Roman" w:cs="Times New Roman" w:hint="eastAsia"/>
      <w:sz w:val="24"/>
      <w:lang w:val="en-US" w:eastAsia="zh-CN" w:bidi="ar-SA"/>
    </w:rPr>
  </w:style>
  <w:style w:type="paragraph" w:styleId="Heading1">
    <w:name w:val="heading 1"/>
    <w:basedOn w:val="Normal"/>
    <w:next w:val="Normal"/>
    <w:qFormat/>
    <w:pPr>
      <w:outlineLvl w:val="0"/>
    </w:pPr>
    <w:rPr>
      <w:rFonts w:ascii="Microsoft JhengHei" w:eastAsia="Microsoft JhengHei" w:hAnsi="Microsoft JhengHei"/>
      <w:b/>
      <w:sz w:val="72"/>
    </w:rPr>
  </w:style>
  <w:style w:type="paragraph" w:styleId="Heading2">
    <w:name w:val="heading 2"/>
    <w:basedOn w:val="Normal"/>
    <w:next w:val="Normal"/>
    <w:qFormat/>
    <w:pPr>
      <w:keepNext/>
      <w:numPr>
        <w:ilvl w:val="1"/>
        <w:numId w:val="1"/>
      </w:numPr>
      <w:tabs>
        <w:tab w:val="left" w:pos="360"/>
        <w:tab w:val="clear" w:pos="1021"/>
      </w:tabs>
      <w:spacing w:before="120" w:line="360" w:lineRule="auto"/>
      <w:textAlignment w:val="baseline"/>
      <w:outlineLvl w:val="1"/>
    </w:pPr>
    <w:rPr>
      <w:rFonts w:eastAsia="黑体"/>
      <w:b/>
      <w:sz w:val="28"/>
    </w:rPr>
  </w:style>
  <w:style w:type="paragraph" w:styleId="Heading3">
    <w:name w:val="heading 3"/>
    <w:basedOn w:val="Normal"/>
    <w:next w:val="Normal"/>
    <w:qFormat/>
    <w:pPr>
      <w:outlineLvl w:val="2"/>
    </w:pPr>
    <w:rPr>
      <w:rFonts w:ascii="方正小标宋繁体" w:eastAsia="方正小标宋繁体" w:hAnsi="方正小标宋繁体"/>
      <w:sz w:val="32"/>
    </w:rPr>
  </w:style>
  <w:style w:type="paragraph" w:styleId="Heading4">
    <w:name w:val="heading 4"/>
    <w:basedOn w:val="Normal"/>
    <w:next w:val="Normal"/>
    <w:qFormat/>
    <w:pPr>
      <w:ind w:left="147"/>
      <w:outlineLvl w:val="3"/>
    </w:pPr>
    <w:rPr>
      <w:rFonts w:ascii="黑体" w:eastAsia="黑体" w:hAnsi="黑体"/>
      <w:sz w:val="28"/>
    </w:rPr>
  </w:style>
  <w:style w:type="paragraph" w:styleId="Heading6">
    <w:name w:val="heading 6"/>
    <w:basedOn w:val="Normal"/>
    <w:next w:val="Normal"/>
    <w:qFormat/>
    <w:pPr>
      <w:spacing w:before="129"/>
      <w:ind w:left="870"/>
      <w:outlineLvl w:val="5"/>
    </w:pPr>
    <w:rPr>
      <w:rFonts w:ascii="宋体" w:hAnsi="宋体"/>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BodyText">
    <w:name w:val="Body Text"/>
    <w:basedOn w:val="Normal"/>
    <w:next w:val="a"/>
    <w:qFormat/>
    <w:pPr>
      <w:spacing w:before="29"/>
      <w:ind w:left="147"/>
    </w:pPr>
    <w:rPr>
      <w:rFonts w:ascii="宋体" w:hAnsi="宋体"/>
    </w:rPr>
  </w:style>
  <w:style w:type="paragraph" w:customStyle="1" w:styleId="a">
    <w:name w:val="一级条标题"/>
    <w:basedOn w:val="Normal"/>
    <w:next w:val="Normal"/>
    <w:uiPriority w:val="99"/>
    <w:qFormat/>
    <w:pPr>
      <w:widowControl/>
      <w:ind w:left="420"/>
      <w:outlineLvl w:val="2"/>
    </w:pPr>
    <w:rPr>
      <w:rFonts w:ascii="黑体" w:eastAsia="黑体" w:cs="黑体"/>
    </w:rPr>
  </w:style>
  <w:style w:type="paragraph" w:styleId="NormalIndent">
    <w:name w:val="Normal Indent"/>
    <w:basedOn w:val="Normal"/>
    <w:qFormat/>
    <w:pPr>
      <w:ind w:firstLine="420" w:firstLineChars="200"/>
    </w:pPr>
    <w:rPr>
      <w:sz w:val="20"/>
    </w:rPr>
  </w:style>
  <w:style w:type="paragraph" w:styleId="PlainText">
    <w:name w:val="Plain Text"/>
    <w:basedOn w:val="Normal"/>
    <w:qFormat/>
    <w:rPr>
      <w:rFonts w:ascii="宋体"/>
    </w:rPr>
  </w:style>
  <w:style w:type="paragraph" w:styleId="Footer">
    <w:name w:val="footer"/>
    <w:basedOn w:val="Normal"/>
    <w:qFormat/>
    <w:pPr>
      <w:tabs>
        <w:tab w:val="center" w:pos="4153"/>
        <w:tab w:val="right" w:pos="8306"/>
      </w:tabs>
      <w:snapToGrid w:val="0"/>
    </w:pPr>
    <w:rPr>
      <w:rFonts w:ascii="宋体"/>
      <w:sz w:val="18"/>
    </w:rPr>
  </w:style>
  <w:style w:type="paragraph" w:styleId="Header">
    <w:name w:val="header"/>
    <w:basedOn w:val="Normal"/>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pPr>
      <w:tabs>
        <w:tab w:val="right" w:leader="dot" w:pos="9072"/>
      </w:tabs>
      <w:spacing w:before="120" w:after="120" w:line="276" w:lineRule="auto"/>
      <w:ind w:firstLine="155" w:firstLineChars="74"/>
    </w:pPr>
    <w:rPr>
      <w:b/>
      <w:bCs/>
      <w:caps/>
      <w:sz w:val="20"/>
    </w:rPr>
  </w:style>
  <w:style w:type="paragraph" w:styleId="BodyTextIndent3">
    <w:name w:val="Body Text Indent 3"/>
    <w:basedOn w:val="Normal"/>
    <w:qFormat/>
    <w:pPr>
      <w:spacing w:after="120"/>
      <w:ind w:left="420" w:leftChars="200"/>
    </w:pPr>
    <w:rPr>
      <w:sz w:val="16"/>
      <w:szCs w:val="16"/>
    </w:rPr>
  </w:style>
  <w:style w:type="paragraph" w:styleId="TOC2">
    <w:name w:val="toc 2"/>
    <w:basedOn w:val="Normal"/>
    <w:next w:val="Normal"/>
    <w:qFormat/>
    <w:pPr>
      <w:tabs>
        <w:tab w:val="right" w:leader="dot" w:pos="9072"/>
      </w:tabs>
      <w:spacing w:line="360" w:lineRule="auto"/>
      <w:ind w:firstLine="400" w:firstLineChars="200"/>
    </w:pPr>
    <w:rPr>
      <w:smallCaps/>
      <w:sz w:val="20"/>
    </w:rPr>
  </w:style>
  <w:style w:type="paragraph" w:styleId="NormalWeb">
    <w:name w:val="Normal (Web)"/>
    <w:basedOn w:val="Normal"/>
    <w:qFormat/>
    <w:pPr>
      <w:widowControl/>
      <w:spacing w:before="100" w:beforeAutospacing="1" w:after="100" w:afterAutospacing="1"/>
    </w:pPr>
    <w:rPr>
      <w:rFonts w:ascii="Arial Unicode MS" w:eastAsia="Arial Unicode MS" w:hAnsi="Arial Unicode MS" w:cs="华文仿宋"/>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Pr>
      <w:rFonts w:ascii="Times New Roman" w:eastAsia="宋体" w:hAnsi="Times New Roman" w:cs="Times New Roman"/>
      <w:b/>
    </w:rPr>
  </w:style>
  <w:style w:type="character" w:styleId="Hyperlink">
    <w:name w:val="Hyperlink"/>
    <w:qFormat/>
    <w:rPr>
      <w:rFonts w:ascii="Times New Roman" w:eastAsia="宋体" w:hAnsi="Times New Roman" w:cs="Times New Roman"/>
      <w:color w:val="0000FF"/>
      <w:u w:val="single"/>
    </w:rPr>
  </w:style>
  <w:style w:type="character" w:customStyle="1" w:styleId="grame">
    <w:name w:val="grame"/>
    <w:qFormat/>
    <w:rPr>
      <w:rFonts w:ascii="Times New Roman" w:eastAsia="宋体" w:hAnsi="Times New Roman" w:cs="Times New Roman"/>
    </w:rPr>
  </w:style>
  <w:style w:type="character" w:customStyle="1" w:styleId="font01">
    <w:name w:val="font01"/>
    <w:qFormat/>
    <w:rPr>
      <w:rFonts w:ascii="宋体" w:eastAsia="宋体" w:hAnsi="Times New Roman" w:cs="Times New Roman" w:hint="eastAsia"/>
      <w:color w:val="444444"/>
      <w:sz w:val="24"/>
    </w:rPr>
  </w:style>
  <w:style w:type="paragraph" w:customStyle="1" w:styleId="TableParagraph">
    <w:name w:val="Table Paragraph"/>
    <w:basedOn w:val="Normal"/>
    <w:qFormat/>
  </w:style>
  <w:style w:type="paragraph" w:customStyle="1" w:styleId="Default">
    <w:name w:val="Default"/>
    <w:qFormat/>
    <w:pPr>
      <w:widowControl w:val="0"/>
      <w:autoSpaceDE w:val="0"/>
      <w:autoSpaceDN w:val="0"/>
      <w:adjustRightInd w:val="0"/>
      <w:spacing w:after="200" w:line="276" w:lineRule="auto"/>
    </w:pPr>
    <w:rPr>
      <w:rFonts w:ascii="宋体" w:eastAsia="宋体" w:hAnsi="Times New Roman" w:cs="宋体"/>
      <w:color w:val="000000"/>
      <w:sz w:val="24"/>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4654</Words>
  <Characters>26531</Characters>
  <Application>Microsoft Office Word</Application>
  <DocSecurity>0</DocSecurity>
  <Lines>221</Lines>
  <Paragraphs>62</Paragraphs>
  <ScaleCrop>false</ScaleCrop>
  <Company>Microsoft</Company>
  <LinksUpToDate>false</LinksUpToDate>
  <CharactersWithSpaces>31123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pisces</cp:lastModifiedBy>
  <cp:revision>2</cp:revision>
  <cp:lastPrinted>2021-03-15T06:39:00Z</cp:lastPrinted>
  <dcterms:created xsi:type="dcterms:W3CDTF">2021-03-04T14:53:00Z</dcterms:created>
  <dcterms:modified xsi:type="dcterms:W3CDTF">2021-03-15T08:54:21Z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